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ru-RU"/>
        </w:rPr>
        <w:t>Syllabus</w:t>
      </w: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Course Description</w:t>
      </w: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Title of a Course Modern random matrix theory </w:t>
      </w: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Pre-requisites Probability theory, linear algebra, mathematical analysis. </w:t>
      </w: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Course Type</w:t>
      </w:r>
      <w:r>
        <w:rPr>
          <w:rFonts w:ascii="Times New Roman" w:hAnsi="Times New Roman"/>
          <w:sz w:val="24"/>
          <w:szCs w:val="24"/>
          <w:rtl w:val="0"/>
          <w:lang w:val="en-US"/>
        </w:rPr>
        <w:t>: elective</w:t>
      </w:r>
    </w:p>
    <w:p>
      <w:pPr>
        <w:pStyle w:val="List Paragraph"/>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Abstract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tLeast"/>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The aim of this course is to provide an introduction to asymptotic and non-asymptotic methods for the study of random structures in high dimension that arise in probability, statistics, computer science, and mathematics.</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One of the emphases is on the development of a common set of tools that has proved to be useful in a wide range of applications in different areas. Topics will include concentration of measure, Stein</w:t>
      </w:r>
      <w:r>
        <w:rPr>
          <w:rFonts w:ascii="Times New Roman" w:hAnsi="Times New Roman" w:hint="default"/>
          <w:sz w:val="24"/>
          <w:szCs w:val="24"/>
          <w:rtl w:val="0"/>
        </w:rPr>
        <w:t>’</w:t>
      </w:r>
      <w:r>
        <w:rPr>
          <w:rFonts w:ascii="Times New Roman" w:hAnsi="Times New Roman"/>
          <w:sz w:val="24"/>
          <w:szCs w:val="24"/>
          <w:rtl w:val="0"/>
          <w:lang w:val="en-US"/>
        </w:rPr>
        <w:t xml:space="preserve">s methods, suprema of random processes and etc.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tLeast"/>
        <w:ind w:left="0" w:right="0" w:firstLine="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Another main emphasis is on the application of these tools for the study of spectral statistics of random matrices, which are remarkable examples of random structures in high dimension and may be used as models for data, physical phenomena or within randomi</w:t>
      </w:r>
      <w:r>
        <w:rPr>
          <w:rFonts w:ascii="Times New Roman" w:hAnsi="Times New Roman"/>
          <w:sz w:val="24"/>
          <w:szCs w:val="24"/>
          <w:rtl w:val="0"/>
          <w:lang w:val="en-US"/>
        </w:rPr>
        <w:t>s</w:t>
      </w:r>
      <w:r>
        <w:rPr>
          <w:rFonts w:ascii="Times New Roman" w:hAnsi="Times New Roman"/>
          <w:sz w:val="24"/>
          <w:szCs w:val="24"/>
          <w:rtl w:val="0"/>
          <w:lang w:val="en-US"/>
        </w:rPr>
        <w:t>ed computer algorithms.</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 xml:space="preserve">The topics of this course form an essential basis for work in the area of high dimensional data. </w:t>
      </w: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 xml:space="preserve">Learning Objectives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tLeast"/>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Students will study how to apply the main modern probabilistic methods in practice and learn important topics from the random matrix theory. </w:t>
      </w: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Learning Outcomes</w:t>
      </w:r>
      <w:r>
        <w:rPr>
          <w:rFonts w:ascii="Times New Roman" w:hAnsi="Times New Roman"/>
          <w:sz w:val="24"/>
          <w:szCs w:val="24"/>
          <w:rtl w:val="0"/>
          <w:lang w:val="en-US"/>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2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Know </w:t>
      </w:r>
    </w:p>
    <w:p>
      <w:pPr>
        <w:pStyle w:val="По умолчанию"/>
        <w:numPr>
          <w:ilvl w:val="0"/>
          <w:numId w:val="4"/>
        </w:numPr>
        <w:bidi w:val="0"/>
        <w:spacing w:after="293" w:line="24"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Acquaintance with the main aspects of the measure concentration phenomenon </w:t>
      </w:r>
    </w:p>
    <w:p>
      <w:pPr>
        <w:pStyle w:val="По умолчанию"/>
        <w:numPr>
          <w:ilvl w:val="0"/>
          <w:numId w:val="4"/>
        </w:numPr>
        <w:bidi w:val="0"/>
        <w:spacing w:after="293" w:line="24"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Understand random matrix theory and its applications in science and practice </w:t>
      </w:r>
    </w:p>
    <w:p>
      <w:pPr>
        <w:pStyle w:val="По умолчанию"/>
        <w:numPr>
          <w:ilvl w:val="0"/>
          <w:numId w:val="4"/>
        </w:numPr>
        <w:bidi w:val="0"/>
        <w:spacing w:after="293" w:line="24"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Interrelation between different directions of modern high-dimensional probability theory </w:t>
      </w:r>
    </w:p>
    <w:p>
      <w:pPr>
        <w:pStyle w:val="По умолчанию"/>
        <w:numPr>
          <w:ilvl w:val="0"/>
          <w:numId w:val="4"/>
        </w:numPr>
        <w:bidi w:val="0"/>
        <w:spacing w:after="293" w:line="24"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How to apply the main measure concentration inequalities in science and practice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20" w:lineRule="atLeast"/>
        <w:ind w:left="0" w:right="0" w:firstLine="0"/>
        <w:jc w:val="left"/>
        <w:rPr>
          <w:rtl w:val="0"/>
        </w:rPr>
        <w:sectPr>
          <w:headerReference w:type="default" r:id="rId4"/>
          <w:footerReference w:type="default" r:id="rId5"/>
          <w:pgSz w:w="11900" w:h="16840" w:orient="portrait"/>
          <w:pgMar w:top="1134" w:right="850" w:bottom="1134" w:left="1701" w:header="708" w:footer="708"/>
          <w:bidi w:val="0"/>
        </w:sectPr>
      </w:pPr>
      <w:r>
        <w:rPr>
          <w:rFonts w:ascii="Times New Roman" w:hAnsi="Times New Roman"/>
          <w:sz w:val="24"/>
          <w:szCs w:val="24"/>
          <w:rtl w:val="0"/>
          <w:lang w:val="en-US"/>
        </w:rPr>
        <w:t xml:space="preserve">Be able </w:t>
      </w:r>
    </w:p>
    <w:p>
      <w:pPr>
        <w:pStyle w:val="По умолчанию"/>
        <w:numPr>
          <w:ilvl w:val="0"/>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Ability to solve practical problems with methods from modern probability and random matrix theory </w:t>
      </w:r>
    </w:p>
    <w:p>
      <w:pPr>
        <w:pStyle w:val="По умолчанию"/>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Compute and estimate spectral statistics of random matrices from different random matrix ensembles </w:t>
      </w:r>
    </w:p>
    <w:p>
      <w:pPr>
        <w:pStyle w:val="По умолчанию"/>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Select the most efficient probability methods to solve problems in science and practice </w:t>
      </w:r>
    </w:p>
    <w:p>
      <w:pPr>
        <w:pStyle w:val="По умолчанию"/>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Ability to make an oral and written presentation </w:t>
      </w:r>
    </w:p>
    <w:p>
      <w:pPr>
        <w:pStyle w:val="По умолчанию"/>
        <w:numPr>
          <w:ilvl w:val="0"/>
          <w:numId w:val="4"/>
        </w:numPr>
        <w:bidi w:val="0"/>
        <w:ind w:right="0"/>
        <w:jc w:val="left"/>
        <w:rPr>
          <w:rFonts w:ascii="Times New Roman" w:hAnsi="Times New Roman"/>
          <w:sz w:val="24"/>
          <w:szCs w:val="24"/>
          <w:rtl w:val="0"/>
          <w:lang w:val="en-US"/>
        </w:rPr>
        <w:sectPr>
          <w:type w:val="continuous"/>
          <w:pgSz w:w="11900" w:h="16840" w:orient="portrait"/>
          <w:pgMar w:top="1134" w:right="850" w:bottom="1134" w:left="1701" w:header="708" w:footer="708"/>
          <w:bidi w:val="0"/>
        </w:sectPr>
      </w:pPr>
      <w:r>
        <w:rPr>
          <w:rFonts w:ascii="Times New Roman" w:hAnsi="Times New Roman"/>
          <w:sz w:val="24"/>
          <w:szCs w:val="24"/>
          <w:rtl w:val="0"/>
          <w:lang w:val="en-US"/>
        </w:rPr>
        <w:t xml:space="preserve">Ability to work with research literature on the modern probability theory </w:t>
      </w:r>
      <w:r>
        <w:rPr>
          <w:rFonts w:ascii="Arial Unicode MS" w:cs="Arial Unicode MS" w:hAnsi="Arial Unicode MS" w:eastAsia="Arial Unicode MS"/>
          <w:b w:val="0"/>
          <w:bCs w:val="0"/>
          <w:i w:val="0"/>
          <w:iCs w:val="0"/>
          <w:sz w:val="24"/>
          <w:szCs w:val="24"/>
          <w:rtl w:val="0"/>
        </w:rPr>
        <w:br w:type="textWrapping"/>
      </w:r>
    </w:p>
    <w:p>
      <w:pPr>
        <w:pStyle w:val="Normal.0"/>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Course Plan</w:t>
      </w:r>
    </w:p>
    <w:tbl>
      <w:tblPr>
        <w:tblW w:w="9329"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000000"/>
        <w:tblLayout w:type="fixed"/>
      </w:tblPr>
      <w:tblGrid>
        <w:gridCol w:w="1865"/>
        <w:gridCol w:w="1866"/>
        <w:gridCol w:w="1866"/>
        <w:gridCol w:w="1866"/>
        <w:gridCol w:w="1866"/>
      </w:tblGrid>
      <w:tr>
        <w:tblPrEx>
          <w:shd w:val="clear" w:color="auto" w:fill="000000"/>
        </w:tblPrEx>
        <w:trPr>
          <w:trHeight w:val="95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Topic / Theme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Annotated summary of topic / theme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Lectures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Seminars</w:t>
            </w:r>
          </w:p>
        </w:tc>
      </w:tr>
      <w:tr>
        <w:tblPrEx>
          <w:shd w:val="clear" w:color="auto" w:fill="000000"/>
        </w:tblPrEx>
        <w:trPr>
          <w:trHeight w:val="287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1</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Concentration of measure phenomenon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Sub-Gaussian and sub-exponential distributions, concentration inequalities for sums of random variables, Bernstein's inequality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351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2</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Random vectors in high dimension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Multivariate Gaussian distribution, distribution of norm of random vector, dimensionality reduction, Johnson-Lindenstrauss lemma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287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3</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Random matrices in science and applications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Random matrices in statistics, physics, telecommunications, numerical analysis, community detection in networks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2</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2</w:t>
            </w:r>
          </w:p>
        </w:tc>
      </w:tr>
      <w:tr>
        <w:tblPrEx>
          <w:shd w:val="clear" w:color="auto" w:fill="000000"/>
        </w:tblPrEx>
        <w:trPr>
          <w:trHeight w:val="383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Norms of random matrices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Norm of a random symmetric matrix, norms of rectangular matrices, the moment method, Gaussian processes, Sudakov-Fernique inequality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191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5</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Sums of random matrices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Matrix inequalities, matrix Bernstein inequality, Ahlswede</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Winter Bound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351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Sample covariance matrices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Concentration inequalities and moment inequalities for the sample covariance matrices, spectral projectors, principal component analysis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r>
      <w:tr>
        <w:tblPrEx>
          <w:shd w:val="clear" w:color="auto" w:fill="000000"/>
        </w:tblPrEx>
        <w:trPr>
          <w:trHeight w:val="479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7</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Gaussian ensembles of random matrices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Gaussian Unitary Ensemble (GUE), Gaussian Orthogonal ensemble (GOE), Wishart ensemble, eigenvalues density, eigenvectors, Determinantal structure, Spectral statistics, Wigner-Dyson-Gaudin- Mehta conjecture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255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8</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Limit theorems for spectra of random matrices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Stieltjes transform, Wigner</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semicircle law, Marchenko-Pastur law, local limit theorems, Stein</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s method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65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9</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Individual projects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3</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3</w:t>
            </w:r>
          </w:p>
        </w:tc>
      </w:tr>
      <w:tr>
        <w:tblPrEx>
          <w:shd w:val="clear" w:color="auto" w:fill="000000"/>
        </w:tblPrEx>
        <w:trPr>
          <w:trHeight w:val="452"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SUM:</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fldChar w:fldCharType="begin" w:fldLock="0"/>
            </w:r>
            <w:r>
              <w:instrText xml:space="preserve"> = SUM(D2:D9) \# "0" \* MERGEFORMAT</w:instrText>
            </w:r>
            <w:r>
              <w:rPr/>
              <w:fldChar w:fldCharType="separate"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32</w:t>
            </w:r>
            <w:r>
              <w:rPr/>
              <w:fldChar w:fldCharType="end" w:fldLock="0"/>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fldChar w:fldCharType="begin" w:fldLock="0"/>
            </w:r>
            <w:r>
              <w:instrText xml:space="preserve"> = SUM(E2:E9) \# "0" \* MERGEFORMAT</w:instrText>
            </w:r>
            <w:r>
              <w:rPr/>
              <w:fldChar w:fldCharType="separate"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32</w:t>
            </w:r>
            <w:r>
              <w:rPr/>
              <w:fldChar w:fldCharType="end" w:fldLock="0"/>
            </w:r>
          </w:p>
        </w:tc>
      </w:tr>
    </w:tbl>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rPr>
      </w:pPr>
    </w:p>
    <w:p>
      <w:pPr>
        <w:pStyle w:val="Normal.0"/>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Reading List</w:t>
      </w: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Required</w:t>
      </w:r>
    </w:p>
    <w:p>
      <w:pPr>
        <w:pStyle w:val="По умолчанию"/>
        <w:numPr>
          <w:ilvl w:val="0"/>
          <w:numId w:val="7"/>
        </w:numPr>
        <w:bidi w:val="0"/>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 xml:space="preserve">R. Veshynin, High dimensional probability, </w:t>
      </w:r>
      <w:r>
        <w:rPr>
          <w:rFonts w:ascii="Times New Roman" w:hAnsi="Times New Roman"/>
          <w:sz w:val="24"/>
          <w:szCs w:val="24"/>
          <w:shd w:val="clear" w:color="auto" w:fill="ffffff"/>
          <w:rtl w:val="0"/>
          <w:lang w:val="en-US"/>
        </w:rPr>
        <w:t>author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personal website: </w:t>
      </w:r>
      <w:r>
        <w:rPr>
          <w:rFonts w:ascii="Times New Roman" w:hAnsi="Times New Roman"/>
          <w:sz w:val="24"/>
          <w:szCs w:val="24"/>
          <w:shd w:val="clear" w:color="auto" w:fill="ffffff"/>
          <w:rtl w:val="0"/>
          <w:lang w:val="en-US"/>
        </w:rPr>
        <w:t>https://www.math.uci.edu/~rvershyn/papers/HDP-book/HDP-book.html, 201</w:t>
      </w:r>
      <w:r>
        <w:rPr>
          <w:rFonts w:ascii="Times New Roman" w:hAnsi="Times New Roman"/>
          <w:sz w:val="24"/>
          <w:szCs w:val="24"/>
          <w:shd w:val="clear" w:color="auto" w:fill="ffffff"/>
          <w:rtl w:val="0"/>
          <w:lang w:val="en-US"/>
        </w:rPr>
        <w:t>9</w:t>
      </w:r>
    </w:p>
    <w:p>
      <w:pPr>
        <w:pStyle w:val="По умолчанию"/>
        <w:numPr>
          <w:ilvl w:val="0"/>
          <w:numId w:val="7"/>
        </w:numPr>
        <w:bidi w:val="0"/>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 xml:space="preserve">R. Van Handel </w:t>
      </w:r>
      <w:r>
        <w:rPr>
          <w:rFonts w:ascii="Times New Roman" w:hAnsi="Times New Roman"/>
          <w:sz w:val="24"/>
          <w:szCs w:val="24"/>
          <w:shd w:val="clear" w:color="auto" w:fill="ffffff"/>
          <w:rtl w:val="0"/>
          <w:lang w:val="en-US"/>
        </w:rPr>
        <w:t>In Convexity and Concentration (Carlen et al., eds.), IMA Vol. 161, Springer, 2017, pp. 107-165</w:t>
      </w:r>
      <w:r>
        <w:rPr>
          <w:rFonts w:ascii="Times New Roman" w:hAnsi="Times New Roman"/>
          <w:sz w:val="24"/>
          <w:szCs w:val="24"/>
          <w:shd w:val="clear" w:color="auto" w:fill="ffffff"/>
          <w:rtl w:val="0"/>
          <w:lang w:val="en-US"/>
        </w:rPr>
        <w:t>, author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personal website: </w:t>
      </w:r>
      <w:r>
        <w:rPr>
          <w:rFonts w:ascii="Times New Roman" w:hAnsi="Times New Roman"/>
          <w:sz w:val="24"/>
          <w:szCs w:val="24"/>
          <w:shd w:val="clear" w:color="auto" w:fill="ffffff"/>
          <w:rtl w:val="0"/>
        </w:rPr>
        <w:t>https://</w:t>
      </w:r>
      <w:r>
        <w:rPr>
          <w:rStyle w:val="Hyperlink.0"/>
          <w:rFonts w:ascii="Times New Roman" w:cs="Times New Roman" w:hAnsi="Times New Roman" w:eastAsia="Times New Roman"/>
          <w:color w:val="0000ff"/>
          <w:sz w:val="24"/>
          <w:szCs w:val="24"/>
          <w:u w:val="single" w:color="0000ff"/>
          <w:shd w:val="clear" w:color="auto" w:fill="ffffff"/>
          <w:rtl w:val="0"/>
        </w:rPr>
        <w:fldChar w:fldCharType="begin" w:fldLock="0"/>
      </w:r>
      <w:r>
        <w:rPr>
          <w:rStyle w:val="Hyperlink.0"/>
          <w:rFonts w:ascii="Times New Roman" w:cs="Times New Roman" w:hAnsi="Times New Roman" w:eastAsia="Times New Roman"/>
          <w:color w:val="0000ff"/>
          <w:sz w:val="24"/>
          <w:szCs w:val="24"/>
          <w:u w:val="single" w:color="0000ff"/>
          <w:shd w:val="clear" w:color="auto" w:fill="ffffff"/>
          <w:rtl w:val="0"/>
        </w:rPr>
        <w:instrText xml:space="preserve"> HYPERLINK "http://web.math.princeton.edu/~rvan/ima160525.pdf"</w:instrText>
      </w:r>
      <w:r>
        <w:rPr>
          <w:rStyle w:val="Hyperlink.0"/>
          <w:rFonts w:ascii="Times New Roman" w:cs="Times New Roman" w:hAnsi="Times New Roman" w:eastAsia="Times New Roman"/>
          <w:color w:val="0000ff"/>
          <w:sz w:val="24"/>
          <w:szCs w:val="24"/>
          <w:u w:val="single" w:color="0000ff"/>
          <w:shd w:val="clear" w:color="auto" w:fill="ffffff"/>
          <w:rtl w:val="0"/>
        </w:rPr>
        <w:fldChar w:fldCharType="separate" w:fldLock="0"/>
      </w:r>
      <w:r>
        <w:rPr>
          <w:rStyle w:val="Hyperlink.0"/>
          <w:rFonts w:ascii="Times New Roman" w:hAnsi="Times New Roman"/>
          <w:color w:val="0000ff"/>
          <w:sz w:val="24"/>
          <w:szCs w:val="24"/>
          <w:u w:val="single" w:color="0000ff"/>
          <w:shd w:val="clear" w:color="auto" w:fill="ffffff"/>
          <w:rtl w:val="0"/>
          <w:lang w:val="en-US"/>
        </w:rPr>
        <w:t>web.math.princeton.edu/~rvan/ima160525.pdf</w:t>
      </w:r>
      <w:r>
        <w:rPr>
          <w:rFonts w:ascii="Times New Roman" w:cs="Times New Roman" w:hAnsi="Times New Roman" w:eastAsia="Times New Roman"/>
          <w:sz w:val="24"/>
          <w:szCs w:val="24"/>
          <w:shd w:val="clear" w:color="auto" w:fill="ffffff"/>
          <w:rtl w:val="0"/>
        </w:rPr>
        <w:fldChar w:fldCharType="end" w:fldLock="0"/>
      </w:r>
    </w:p>
    <w:p>
      <w:pPr>
        <w:pStyle w:val="По умолчанию"/>
        <w:numPr>
          <w:ilvl w:val="0"/>
          <w:numId w:val="7"/>
        </w:numPr>
        <w:bidi w:val="0"/>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T. Tao, Topics in Random Matrix Theory, author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personal website: </w:t>
      </w:r>
      <w:r>
        <w:rPr>
          <w:rStyle w:val="Hyperlink.0"/>
          <w:rFonts w:ascii="Times New Roman" w:cs="Times New Roman" w:hAnsi="Times New Roman" w:eastAsia="Times New Roman"/>
          <w:color w:val="0000ff"/>
          <w:sz w:val="24"/>
          <w:szCs w:val="24"/>
          <w:u w:val="single" w:color="0000ff"/>
          <w:shd w:val="clear" w:color="auto" w:fill="ffffff"/>
          <w:rtl w:val="0"/>
        </w:rPr>
        <w:fldChar w:fldCharType="begin" w:fldLock="0"/>
      </w:r>
      <w:r>
        <w:rPr>
          <w:rStyle w:val="Hyperlink.0"/>
          <w:rFonts w:ascii="Times New Roman" w:cs="Times New Roman" w:hAnsi="Times New Roman" w:eastAsia="Times New Roman"/>
          <w:color w:val="0000ff"/>
          <w:sz w:val="24"/>
          <w:szCs w:val="24"/>
          <w:u w:val="single" w:color="0000ff"/>
          <w:shd w:val="clear" w:color="auto" w:fill="ffffff"/>
          <w:rtl w:val="0"/>
        </w:rPr>
        <w:instrText xml:space="preserve"> HYPERLINK "https://terrytao.files.wordpress.com/2011/02/matrix-book.pdf"</w:instrText>
      </w:r>
      <w:r>
        <w:rPr>
          <w:rStyle w:val="Hyperlink.0"/>
          <w:rFonts w:ascii="Times New Roman" w:cs="Times New Roman" w:hAnsi="Times New Roman" w:eastAsia="Times New Roman"/>
          <w:color w:val="0000ff"/>
          <w:sz w:val="24"/>
          <w:szCs w:val="24"/>
          <w:u w:val="single" w:color="0000ff"/>
          <w:shd w:val="clear" w:color="auto" w:fill="ffffff"/>
          <w:rtl w:val="0"/>
        </w:rPr>
        <w:fldChar w:fldCharType="separate" w:fldLock="0"/>
      </w:r>
      <w:r>
        <w:rPr>
          <w:rStyle w:val="Hyperlink.0"/>
          <w:rFonts w:ascii="Times New Roman" w:hAnsi="Times New Roman"/>
          <w:color w:val="0000ff"/>
          <w:sz w:val="24"/>
          <w:szCs w:val="24"/>
          <w:u w:val="single" w:color="0000ff"/>
          <w:shd w:val="clear" w:color="auto" w:fill="ffffff"/>
          <w:rtl w:val="0"/>
          <w:lang w:val="de-DE"/>
        </w:rPr>
        <w:t>https://terrytao.files.wordpress.com/2011/02/matrix-book.pdf</w:t>
      </w:r>
      <w:r>
        <w:rPr>
          <w:rFonts w:ascii="Times New Roman" w:cs="Times New Roman" w:hAnsi="Times New Roman" w:eastAsia="Times New Roman"/>
          <w:sz w:val="24"/>
          <w:szCs w:val="24"/>
          <w:shd w:val="clear" w:color="auto" w:fill="ffffff"/>
          <w:rtl w:val="0"/>
        </w:rPr>
        <w:fldChar w:fldCharType="end" w:fldLock="0"/>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Times New Roman" w:cs="Times New Roman" w:hAnsi="Times New Roman" w:eastAsia="Times New Roman"/>
          <w:sz w:val="24"/>
          <w:szCs w:val="24"/>
          <w:shd w:val="clear" w:color="auto" w:fill="ffffff"/>
          <w:rtl w:val="0"/>
        </w:rPr>
      </w:pP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Optional</w:t>
      </w:r>
    </w:p>
    <w:p>
      <w:pPr>
        <w:pStyle w:val="Normal.0"/>
        <w:numPr>
          <w:ilvl w:val="0"/>
          <w:numId w:val="8"/>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F. Gotze, A. Naumov, A. Tikhomirov, D. Timushev, </w:t>
      </w:r>
      <w:r>
        <w:rPr>
          <w:rFonts w:ascii="Times New Roman" w:hAnsi="Times New Roman"/>
          <w:sz w:val="24"/>
          <w:szCs w:val="24"/>
          <w:rtl w:val="0"/>
          <w:lang w:val="en-US"/>
        </w:rPr>
        <w:t>On the local semicircular law for Wigner ensembles</w:t>
      </w:r>
      <w:r>
        <w:rPr>
          <w:rFonts w:ascii="Times New Roman" w:hAnsi="Times New Roman"/>
          <w:sz w:val="24"/>
          <w:szCs w:val="24"/>
          <w:rtl w:val="0"/>
          <w:lang w:val="en-US"/>
        </w:rPr>
        <w:t>, 2</w:t>
      </w:r>
      <w:r>
        <w:rPr>
          <w:rFonts w:ascii="Times New Roman" w:hAnsi="Times New Roman"/>
          <w:sz w:val="24"/>
          <w:szCs w:val="24"/>
          <w:rtl w:val="0"/>
          <w:lang w:val="en-US"/>
        </w:rPr>
        <w:t>018</w:t>
      </w:r>
      <w:r>
        <w:rPr>
          <w:rFonts w:ascii="Times New Roman" w:hAnsi="Times New Roman"/>
          <w:sz w:val="24"/>
          <w:szCs w:val="24"/>
          <w:rtl w:val="0"/>
          <w:lang w:val="en-US"/>
        </w:rPr>
        <w:t xml:space="preserve">, </w:t>
      </w:r>
      <w:r>
        <w:rPr>
          <w:rFonts w:ascii="Times New Roman" w:hAnsi="Times New Roman"/>
          <w:sz w:val="24"/>
          <w:szCs w:val="24"/>
          <w:rtl w:val="0"/>
          <w:lang w:val="en-US"/>
        </w:rPr>
        <w:t>Bernoulli</w:t>
      </w:r>
      <w:r>
        <w:rPr>
          <w:rFonts w:ascii="Times New Roman" w:hAnsi="Times New Roman"/>
          <w:sz w:val="24"/>
          <w:szCs w:val="24"/>
          <w:rtl w:val="0"/>
          <w:lang w:val="en-US"/>
        </w:rPr>
        <w:t xml:space="preserve">, </w:t>
      </w:r>
      <w:r>
        <w:rPr>
          <w:rFonts w:ascii="Times New Roman" w:hAnsi="Times New Roman"/>
          <w:sz w:val="24"/>
          <w:szCs w:val="24"/>
          <w:rtl w:val="0"/>
          <w:lang w:val="en-US"/>
        </w:rPr>
        <w:t>24</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3 </w:t>
      </w:r>
      <w:r>
        <w:rPr>
          <w:rFonts w:ascii="Times New Roman" w:hAnsi="Times New Roman"/>
          <w:sz w:val="24"/>
          <w:szCs w:val="24"/>
          <w:rtl w:val="0"/>
          <w:lang w:val="en-US"/>
        </w:rPr>
        <w:t xml:space="preserve">p. </w:t>
      </w:r>
      <w:r>
        <w:rPr>
          <w:rFonts w:ascii="Times New Roman" w:hAnsi="Times New Roman"/>
          <w:sz w:val="24"/>
          <w:szCs w:val="24"/>
          <w:rtl w:val="0"/>
          <w:lang w:val="en-US"/>
        </w:rPr>
        <w:t>2358-2400</w:t>
      </w: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 xml:space="preserve">Grading </w:t>
      </w:r>
      <w:r>
        <w:rPr>
          <w:rFonts w:ascii="Times New Roman" w:hAnsi="Times New Roman"/>
          <w:sz w:val="24"/>
          <w:szCs w:val="24"/>
          <w:rtl w:val="0"/>
          <w:lang w:val="en-US"/>
        </w:rPr>
        <w:t>System</w:t>
      </w:r>
      <w:r>
        <w:rPr>
          <w:rFonts w:ascii="Times New Roman" w:hAnsi="Times New Roman"/>
          <w:sz w:val="24"/>
          <w:szCs w:val="24"/>
          <w:rtl w:val="0"/>
          <w:lang w:val="en-US"/>
        </w:rPr>
        <w:t>: g</w:t>
      </w:r>
      <w:r>
        <w:rPr>
          <w:rFonts w:ascii="Times New Roman" w:hAnsi="Times New Roman"/>
          <w:sz w:val="24"/>
          <w:szCs w:val="24"/>
          <w:rtl w:val="0"/>
          <w:lang w:val="en-US"/>
        </w:rPr>
        <w:t xml:space="preserve">rade </w:t>
      </w:r>
      <w:r>
        <w:rPr>
          <w:rFonts w:ascii="Times New Roman" w:hAnsi="Times New Roman"/>
          <w:sz w:val="24"/>
          <w:szCs w:val="24"/>
          <w:rtl w:val="0"/>
          <w:lang w:val="en-US"/>
        </w:rPr>
        <w:t>c</w:t>
      </w:r>
      <w:r>
        <w:rPr>
          <w:rFonts w:ascii="Times New Roman" w:hAnsi="Times New Roman"/>
          <w:sz w:val="24"/>
          <w:szCs w:val="24"/>
          <w:rtl w:val="0"/>
          <w:lang w:val="en-US"/>
        </w:rPr>
        <w:t>omponents</w:t>
      </w:r>
      <w:r>
        <w:rPr>
          <w:rFonts w:ascii="Times New Roman" w:hAnsi="Times New Roman"/>
          <w:sz w:val="24"/>
          <w:szCs w:val="24"/>
          <w:rtl w:val="0"/>
          <w:lang w:val="en-US"/>
        </w:rPr>
        <w:t xml:space="preserve"> - </w:t>
      </w:r>
      <w:r>
        <w:rPr>
          <w:rFonts w:ascii="Times New Roman" w:hAnsi="Times New Roman"/>
          <w:sz w:val="24"/>
          <w:szCs w:val="24"/>
          <w:rtl w:val="0"/>
          <w:lang w:val="en-US"/>
        </w:rPr>
        <w:t>home assignments (40%) + individual project (20%) + oral final exam (40%).</w:t>
      </w:r>
    </w:p>
    <w:p>
      <w:pPr>
        <w:pStyle w:val="List Paragraph"/>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Guidelines for Knowledge Assessment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u w:val="single"/>
          <w:rtl w:val="0"/>
          <w:lang w:val="en-US"/>
        </w:rPr>
        <w:t>Home assignment</w:t>
      </w:r>
      <w:r>
        <w:rPr>
          <w:rFonts w:ascii="Times New Roman" w:hAnsi="Times New Roman"/>
          <w:sz w:val="24"/>
          <w:szCs w:val="24"/>
          <w:rtl w:val="0"/>
          <w:lang w:val="en-US"/>
        </w:rPr>
        <w:t>:</w:t>
      </w:r>
      <w:r>
        <w:rPr>
          <w:rFonts w:ascii="Times New Roman" w:hAnsi="Times New Roman"/>
          <w:sz w:val="24"/>
          <w:szCs w:val="24"/>
          <w:rtl w:val="0"/>
          <w:lang w:val="en-US"/>
        </w:rPr>
        <w:t xml:space="preserve"> should be done in the form of a written report. The sample of the task structure: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title page </w:t>
      </w:r>
    </w:p>
    <w:p>
      <w:pPr>
        <w:pStyle w:val="По умолчанию"/>
        <w:numPr>
          <w:ilvl w:val="0"/>
          <w:numId w:val="10"/>
        </w:numPr>
        <w:bidi w:val="0"/>
        <w:ind w:right="0"/>
        <w:jc w:val="left"/>
        <w:rPr>
          <w:rFonts w:ascii="Times New Roman" w:hAnsi="Times New Roman"/>
          <w:sz w:val="24"/>
          <w:szCs w:val="24"/>
          <w:rtl w:val="0"/>
        </w:rPr>
      </w:pPr>
      <w:r>
        <w:rPr>
          <w:rFonts w:ascii="Times New Roman" w:hAnsi="Times New Roman"/>
          <w:sz w:val="24"/>
          <w:szCs w:val="24"/>
          <w:rtl w:val="0"/>
        </w:rPr>
        <w:t xml:space="preserve">A4 format </w:t>
      </w:r>
    </w:p>
    <w:p>
      <w:pPr>
        <w:pStyle w:val="По умолчанию"/>
        <w:numPr>
          <w:ilvl w:val="0"/>
          <w:numId w:val="10"/>
        </w:numPr>
        <w:bidi w:val="0"/>
        <w:ind w:right="0"/>
        <w:jc w:val="left"/>
        <w:rPr>
          <w:rFonts w:ascii="Times New Roman" w:hAnsi="Times New Roman"/>
          <w:sz w:val="24"/>
          <w:szCs w:val="24"/>
          <w:rtl w:val="0"/>
        </w:rPr>
      </w:pPr>
      <w:r>
        <w:rPr>
          <w:rFonts w:ascii="Times New Roman" w:hAnsi="Times New Roman"/>
          <w:sz w:val="24"/>
          <w:szCs w:val="24"/>
          <w:rtl w:val="0"/>
        </w:rPr>
        <w:t xml:space="preserve">Task solution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Times New Roman" w:cs="Times New Roman" w:hAnsi="Times New Roman" w:eastAsia="Times New Roman"/>
          <w:sz w:val="24"/>
          <w:szCs w:val="24"/>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Examples of  the homework see in [1], [3].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Times New Roman" w:cs="Times New Roman" w:hAnsi="Times New Roman" w:eastAsia="Times New Roman"/>
          <w:sz w:val="24"/>
          <w:szCs w:val="24"/>
          <w:rtl w:val="0"/>
          <w:lang w:val="en-US"/>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u w:val="single"/>
          <w:rtl w:val="0"/>
          <w:lang w:val="en-US"/>
        </w:rPr>
      </w:pPr>
      <w:r>
        <w:rPr>
          <w:rFonts w:ascii="Times New Roman" w:hAnsi="Times New Roman"/>
          <w:sz w:val="24"/>
          <w:szCs w:val="24"/>
          <w:u w:val="single"/>
          <w:rtl w:val="0"/>
          <w:lang w:val="en-US"/>
        </w:rPr>
        <w:t>Individual project</w:t>
      </w:r>
      <w:r>
        <w:rPr>
          <w:rFonts w:ascii="Times New Roman" w:hAnsi="Times New Roman"/>
          <w:sz w:val="24"/>
          <w:szCs w:val="24"/>
          <w:u w:val="single"/>
          <w:rtl w:val="0"/>
          <w:lang w:val="en-US"/>
        </w:rPr>
        <w:t>:</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Examples of topics: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Dimensionality reduction and Johnson-Lindenstrauss lemma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Extreme singular values of rectangular random matrices and application in the community detection in </w:t>
      </w:r>
      <w:r>
        <w:rPr>
          <w:rFonts w:ascii="Arial Unicode MS" w:cs="Arial Unicode MS" w:hAnsi="Arial Unicode MS" w:eastAsia="Arial Unicode MS"/>
          <w:b w:val="0"/>
          <w:bCs w:val="0"/>
          <w:i w:val="0"/>
          <w:iCs w:val="0"/>
          <w:sz w:val="24"/>
          <w:szCs w:val="24"/>
          <w:rtl w:val="0"/>
          <w:lang w:val="en-US"/>
        </w:rPr>
        <w:br w:type="textWrapping"/>
      </w:r>
      <w:r>
        <w:rPr>
          <w:rFonts w:ascii="Times New Roman" w:hAnsi="Times New Roman"/>
          <w:sz w:val="24"/>
          <w:szCs w:val="24"/>
          <w:rtl w:val="0"/>
          <w:lang w:val="en-US"/>
        </w:rPr>
        <w:t xml:space="preserve">networks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Financial applications of random matrices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Products of random matrices in telecommunication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Wigner-Dyson-Gaudin-Mehta conjecture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Sample covariance matrices and principal component analysis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Random matrix techniques in quantum information theory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Power grid applications of random matrices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lang w:val="en-US"/>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Requirements to the report: </w:t>
      </w:r>
      <w:r>
        <w:rPr>
          <w:rFonts w:ascii="Times New Roman" w:hAnsi="Times New Roman"/>
          <w:sz w:val="24"/>
          <w:szCs w:val="24"/>
          <w:rtl w:val="0"/>
          <w:lang w:val="en-US"/>
        </w:rPr>
        <w:t>v</w:t>
      </w:r>
      <w:r>
        <w:rPr>
          <w:rFonts w:ascii="Times New Roman" w:hAnsi="Times New Roman"/>
          <w:sz w:val="24"/>
          <w:szCs w:val="24"/>
          <w:rtl w:val="0"/>
          <w:lang w:val="pt-PT"/>
        </w:rPr>
        <w:t>olume: 5-10 pages.</w:t>
      </w:r>
      <w:r>
        <w:rPr>
          <w:rFonts w:ascii="Times New Roman" w:hAnsi="Times New Roman"/>
          <w:sz w:val="24"/>
          <w:szCs w:val="24"/>
          <w:rtl w:val="0"/>
          <w:lang w:val="en-US"/>
        </w:rPr>
        <w:t xml:space="preserve"> </w:t>
      </w:r>
      <w:r>
        <w:rPr>
          <w:rFonts w:ascii="Times New Roman" w:hAnsi="Times New Roman"/>
          <w:sz w:val="24"/>
          <w:szCs w:val="24"/>
          <w:rtl w:val="0"/>
          <w:lang w:val="en-US"/>
        </w:rPr>
        <w:t>Contents: statement of the problem;</w:t>
      </w:r>
      <w:r>
        <w:rPr>
          <w:rFonts w:ascii="Times New Roman" w:hAnsi="Times New Roman"/>
          <w:sz w:val="24"/>
          <w:szCs w:val="24"/>
          <w:rtl w:val="0"/>
          <w:lang w:val="en-US"/>
        </w:rPr>
        <w:t xml:space="preserve"> </w:t>
      </w:r>
      <w:r>
        <w:rPr>
          <w:rFonts w:ascii="Times New Roman" w:hAnsi="Times New Roman"/>
          <w:sz w:val="24"/>
          <w:szCs w:val="24"/>
          <w:rtl w:val="0"/>
          <w:lang w:val="en-US"/>
        </w:rPr>
        <w:t>description of the current situation in this field c. problem solution</w:t>
      </w:r>
      <w:r>
        <w:rPr>
          <w:rFonts w:ascii="Times New Roman" w:hAnsi="Times New Roman"/>
          <w:sz w:val="24"/>
          <w:szCs w:val="24"/>
          <w:rtl w:val="0"/>
          <w:lang w:val="en-US"/>
        </w:rPr>
        <w:t xml:space="preserve">; </w:t>
      </w:r>
      <w:r>
        <w:rPr>
          <w:rFonts w:ascii="Times New Roman" w:hAnsi="Times New Roman"/>
          <w:sz w:val="24"/>
          <w:szCs w:val="24"/>
          <w:rtl w:val="0"/>
          <w:lang w:val="it-IT"/>
        </w:rPr>
        <w:t xml:space="preserve">numerical </w:t>
      </w:r>
      <w:r>
        <w:rPr>
          <w:rFonts w:ascii="Times New Roman" w:hAnsi="Times New Roman"/>
          <w:sz w:val="24"/>
          <w:szCs w:val="24"/>
          <w:rtl w:val="0"/>
          <w:lang w:val="en-US"/>
        </w:rPr>
        <w:t xml:space="preserve">simulations; </w:t>
      </w:r>
      <w:r>
        <w:rPr>
          <w:rFonts w:ascii="Times New Roman" w:hAnsi="Times New Roman"/>
          <w:sz w:val="24"/>
          <w:szCs w:val="24"/>
          <w:rtl w:val="0"/>
          <w:lang w:val="it-IT"/>
        </w:rPr>
        <w:t>conclusion;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list of references.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Requirements to the presentation:</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Students should use LaTeX\PowerPoint to create a presentation generali</w:t>
      </w:r>
      <w:r>
        <w:rPr>
          <w:rFonts w:ascii="Times New Roman" w:hAnsi="Times New Roman"/>
          <w:sz w:val="24"/>
          <w:szCs w:val="24"/>
          <w:rtl w:val="0"/>
          <w:lang w:val="en-US"/>
        </w:rPr>
        <w:t>s</w:t>
      </w:r>
      <w:r>
        <w:rPr>
          <w:rFonts w:ascii="Times New Roman" w:hAnsi="Times New Roman"/>
          <w:sz w:val="24"/>
          <w:szCs w:val="24"/>
          <w:rtl w:val="0"/>
          <w:lang w:val="en-US"/>
        </w:rPr>
        <w:t xml:space="preserve">ing results of the individual project. The presentation must consist of 5-10 slides.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lang w:val="en-US"/>
        </w:rPr>
      </w:pP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 xml:space="preserve">Methods </w:t>
      </w:r>
      <w:r>
        <w:rPr>
          <w:rFonts w:ascii="Times New Roman" w:hAnsi="Times New Roman"/>
          <w:sz w:val="24"/>
          <w:szCs w:val="24"/>
          <w:rtl w:val="0"/>
          <w:lang w:val="en-US"/>
        </w:rPr>
        <w:t xml:space="preserve">of </w:t>
      </w:r>
      <w:r>
        <w:rPr>
          <w:rFonts w:ascii="Times New Roman" w:hAnsi="Times New Roman"/>
          <w:sz w:val="24"/>
          <w:szCs w:val="24"/>
          <w:rtl w:val="0"/>
          <w:lang w:val="ru-RU"/>
        </w:rPr>
        <w:t>Instruction</w:t>
      </w:r>
    </w:p>
    <w:p>
      <w:pPr>
        <w:pStyle w:val="Normal.0"/>
        <w:bidi w:val="0"/>
        <w:spacing w:line="36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Lectures, seminars, homework, individual project</w:t>
      </w:r>
    </w:p>
    <w:p>
      <w:pPr>
        <w:pStyle w:val="Normal.0"/>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Special Equipment and Software Support (if required)</w:t>
      </w:r>
    </w:p>
    <w:p>
      <w:pPr>
        <w:pStyle w:val="Normal.0"/>
        <w:bidi w:val="0"/>
        <w:spacing w:line="360" w:lineRule="auto"/>
        <w:ind w:left="0" w:right="0" w:firstLine="0"/>
        <w:jc w:val="left"/>
        <w:rPr>
          <w:rtl w:val="0"/>
        </w:rPr>
      </w:pPr>
      <w:r>
        <w:rPr>
          <w:rFonts w:ascii="Times New Roman" w:hAnsi="Times New Roman"/>
          <w:sz w:val="24"/>
          <w:szCs w:val="24"/>
          <w:rtl w:val="0"/>
          <w:lang w:val="en-US"/>
        </w:rPr>
        <w:t>Python (Open source)</w:t>
      </w:r>
      <w:r>
        <w:rPr>
          <w:rFonts w:ascii="Times New Roman" w:cs="Times New Roman" w:hAnsi="Times New Roman" w:eastAsia="Times New Roman"/>
          <w:sz w:val="24"/>
          <w:szCs w:val="24"/>
          <w:lang w:val="en-US"/>
        </w:rPr>
      </w:r>
    </w:p>
    <w:sectPr>
      <w:type w:val="continuous"/>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С числами"/>
  </w:abstractNum>
  <w:abstractNum w:abstractNumId="3">
    <w:multiLevelType w:val="hybridMultilevel"/>
    <w:styleLink w:val="С числами"/>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3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С числами.0"/>
  </w:abstractNum>
  <w:abstractNum w:abstractNumId="5">
    <w:multiLevelType w:val="hybridMultilevel"/>
    <w:styleLink w:val="С числами.0"/>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Пункты"/>
  </w:abstractNum>
  <w:abstractNum w:abstractNumId="7">
    <w:multiLevelType w:val="hybridMultilevel"/>
    <w:styleLink w:val="Пункты"/>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5"/>
  </w:num>
  <w:num w:numId="7">
    <w:abstractNumId w:val="4"/>
  </w:num>
  <w:num w:numId="8">
    <w:abstractNumId w:val="4"/>
    <w:lvlOverride w:ilvl="0">
      <w:startOverride w:val="1"/>
      <w:lvl w:ilvl="0">
        <w:start w:val="1"/>
        <w:numFmt w:val="decimal"/>
        <w:suff w:val="tab"/>
        <w:lvlText w:val="%1."/>
        <w:lvlJc w:val="left"/>
        <w:pPr>
          <w:ind w:left="138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
    <w:name w:val="Колонтитул"/>
    <w:next w:val="Колонтиту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numbering" w:styleId="Импортированный стиль 1">
    <w:name w:val="Импортированный стиль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С числами">
    <w:name w:val="С числами"/>
    <w:pPr>
      <w:numPr>
        <w:numId w:val="3"/>
      </w:numPr>
    </w:pPr>
  </w:style>
  <w:style w:type="numbering" w:styleId="С числами.0">
    <w:name w:val="С числами.0"/>
    <w:pPr>
      <w:numPr>
        <w:numId w:val="6"/>
      </w:numPr>
    </w:pPr>
  </w:style>
  <w:style w:type="character" w:styleId="Hyperlink.0">
    <w:name w:val="Hyperlink.0"/>
    <w:basedOn w:val="Hyperlink"/>
    <w:next w:val="Hyperlink.0"/>
    <w:rPr>
      <w:color w:val="0000ff"/>
      <w:u w:val="single" w:color="0000ff"/>
    </w:rPr>
  </w:style>
  <w:style w:type="numbering" w:styleId="Пункты">
    <w:name w:val="Пункты"/>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