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0" w:firstLine="567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/>
        <w:suppressAutoHyphens w:val="false"/>
        <w:bidi w:val="0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Программа учебной дисциплины </w:t>
      </w:r>
      <w:r>
        <w:rPr>
          <w:rFonts w:cs="Times New Roman" w:ascii="Times New Roman" w:hAnsi="Times New Roman"/>
          <w:b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Теоретическая криптография</w:t>
      </w:r>
      <w:r>
        <w:rPr>
          <w:rFonts w:cs="Times New Roman" w:ascii="Times New Roman" w:hAnsi="Times New Roman"/>
          <w:b/>
          <w:sz w:val="24"/>
          <w:szCs w:val="24"/>
        </w:rPr>
        <w:t>»</w:t>
      </w:r>
    </w:p>
    <w:p>
      <w:pPr>
        <w:pStyle w:val="Normal"/>
        <w:widowControl/>
        <w:suppressAutoHyphens w:val="false"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right="0" w:firstLine="4678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Утверждена </w:t>
      </w:r>
    </w:p>
    <w:p>
      <w:pPr>
        <w:pStyle w:val="Normal"/>
        <w:spacing w:before="0" w:after="0"/>
        <w:ind w:right="0" w:firstLine="4678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Академическим советом ООП</w:t>
      </w:r>
    </w:p>
    <w:p>
      <w:pPr>
        <w:pStyle w:val="Normal"/>
        <w:spacing w:before="0" w:after="0"/>
        <w:ind w:right="0" w:firstLine="4678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Протокол № </w:t>
      </w:r>
      <w:r>
        <w:rPr>
          <w:rFonts w:eastAsia="Times New Roman" w:cs="Times New Roman" w:ascii="Times New Roman" w:hAnsi="Times New Roman"/>
          <w:sz w:val="24"/>
          <w:szCs w:val="24"/>
        </w:rPr>
        <w:t>_____</w:t>
      </w:r>
      <w:r>
        <w:rPr>
          <w:rFonts w:eastAsia="Times New Roman" w:cs="Times New Roman" w:ascii="Times New Roman" w:hAnsi="Times New Roman"/>
          <w:sz w:val="24"/>
          <w:szCs w:val="24"/>
        </w:rPr>
        <w:t>от «_</w:t>
      </w:r>
      <w:r>
        <w:rPr>
          <w:rFonts w:eastAsia="Times New Roman" w:cs="Times New Roman" w:ascii="Times New Roman" w:hAnsi="Times New Roman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sz w:val="24"/>
          <w:szCs w:val="24"/>
        </w:rPr>
        <w:t>»</w:t>
      </w:r>
      <w:r>
        <w:rPr>
          <w:rFonts w:eastAsia="Times New Roman" w:cs="Times New Roman" w:ascii="Times New Roman" w:hAnsi="Times New Roman"/>
          <w:sz w:val="24"/>
          <w:szCs w:val="24"/>
        </w:rPr>
        <w:t>__</w:t>
      </w:r>
      <w:r>
        <w:rPr>
          <w:rFonts w:eastAsia="Times New Roman" w:cs="Times New Roman" w:ascii="Times New Roman" w:hAnsi="Times New Roman"/>
          <w:sz w:val="24"/>
          <w:szCs w:val="24"/>
        </w:rPr>
        <w:t>_____20__ г.</w:t>
      </w:r>
    </w:p>
    <w:p>
      <w:pPr>
        <w:pStyle w:val="Normal"/>
        <w:spacing w:before="0" w:after="0"/>
        <w:ind w:right="0" w:firstLine="4678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a7"/>
        <w:tblW w:w="935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61"/>
        <w:gridCol w:w="7189"/>
      </w:tblGrid>
      <w:tr>
        <w:trPr/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С. Н. Федоров 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71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64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126</w:t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7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Без использования онлайн курса</w:t>
            </w:r>
          </w:p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right="0" w:firstLine="567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170" w:afterAutospacing="0" w:after="170"/>
        <w:jc w:val="center"/>
        <w:textAlignment w:val="baseline"/>
        <w:rPr/>
      </w:pPr>
      <w:r>
        <w:rPr>
          <w:b/>
          <w:lang w:eastAsia="en-US"/>
        </w:rPr>
        <w:t>ЦЕЛЬ, РЕЗУЛЬТАТЫ ОСВОЕНИЯ ДИСЦИПЛИНЫ И ПРЕРЕКВИЗИТЫ</w:t>
      </w:r>
    </w:p>
    <w:p>
      <w:pPr>
        <w:pStyle w:val="Normal"/>
        <w:spacing w:lineRule="auto" w:line="230" w:before="0" w:after="0"/>
        <w:ind w:right="40"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Целями освоения дисциплины «Теоретическая криптография» является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освоение студентами основных положений математической теории криптографии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exact" w:line="14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результате освоения дисциплины студент должен:</w:t>
      </w:r>
    </w:p>
    <w:p>
      <w:pPr>
        <w:pStyle w:val="Normal"/>
        <w:spacing w:lineRule="exact" w:line="12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знать: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определения основных понятий теоретической криптографии;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формулировки основных результатов теоретической криптографии;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примеры криптографических протоколов (криптографических схем) и задач, которые они решают;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уметь: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анализировать корректность обоснований стойкости криптографических протоколов;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математически строго формулировать требования к стойкости криптографических протоколов (схем);</w:t>
      </w:r>
    </w:p>
    <w:p>
      <w:pPr>
        <w:pStyle w:val="Normal"/>
        <w:tabs>
          <w:tab w:val="left" w:pos="1455" w:leader="none"/>
        </w:tabs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 строить математические модели криптографических средств защиты информации;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владеть: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навыками </w:t>
      </w:r>
      <w:r>
        <w:rPr>
          <w:rFonts w:ascii="Times New Roman" w:hAnsi="Times New Roman"/>
          <w:sz w:val="24"/>
          <w:szCs w:val="24"/>
        </w:rPr>
        <w:t>оперирования основными криптографическими понятиями;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 техниками вывода утверждений о возможности/невозможности криптографической защиты информации в тех или иных условиях.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Изучение дисциплины «Теоретическая криптография» базируется на следующих дисциплинах: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 </w:t>
      </w:r>
      <w:r>
        <w:rPr>
          <w:rFonts w:cs="Times New Roman" w:ascii="Times New Roman" w:hAnsi="Times New Roman"/>
          <w:sz w:val="24"/>
          <w:szCs w:val="24"/>
        </w:rPr>
        <w:t xml:space="preserve">информатика (computer science) и </w:t>
      </w:r>
      <w:r>
        <w:rPr>
          <w:rFonts w:cs="Times New Roman" w:ascii="Times New Roman" w:hAnsi="Times New Roman"/>
          <w:sz w:val="24"/>
          <w:szCs w:val="24"/>
        </w:rPr>
        <w:t>дискретная математика;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 теория вероятностей;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 алгебра и теория чисел.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Для освоения учебной дисциплины студенты должны владеть следующими знаниями и компетенциями: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 уме</w:t>
      </w:r>
      <w:r>
        <w:rPr>
          <w:rFonts w:cs="Times New Roman" w:ascii="Times New Roman" w:hAnsi="Times New Roman"/>
          <w:sz w:val="24"/>
          <w:szCs w:val="24"/>
        </w:rPr>
        <w:t>ние</w:t>
      </w:r>
      <w:r>
        <w:rPr>
          <w:rFonts w:cs="Times New Roman" w:ascii="Times New Roman" w:hAnsi="Times New Roman"/>
          <w:sz w:val="24"/>
          <w:szCs w:val="24"/>
        </w:rPr>
        <w:t xml:space="preserve"> строить строгие математические определения и рассуждения;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 </w:t>
      </w:r>
      <w:r>
        <w:rPr>
          <w:rFonts w:cs="Times New Roman" w:ascii="Times New Roman" w:hAnsi="Times New Roman"/>
          <w:sz w:val="24"/>
          <w:szCs w:val="24"/>
        </w:rPr>
        <w:t>знание содержания курсов информатики (computer science) и дискретной математики;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 xml:space="preserve"> владение </w:t>
      </w:r>
      <w:r>
        <w:rPr>
          <w:rFonts w:cs="Times New Roman" w:ascii="Times New Roman" w:hAnsi="Times New Roman"/>
          <w:sz w:val="24"/>
          <w:szCs w:val="24"/>
        </w:rPr>
        <w:t>основны</w:t>
      </w:r>
      <w:r>
        <w:rPr>
          <w:rFonts w:cs="Times New Roman" w:ascii="Times New Roman" w:hAnsi="Times New Roman"/>
          <w:sz w:val="24"/>
          <w:szCs w:val="24"/>
        </w:rPr>
        <w:t>ми</w:t>
      </w:r>
      <w:r>
        <w:rPr>
          <w:rFonts w:cs="Times New Roman" w:ascii="Times New Roman" w:hAnsi="Times New Roman"/>
          <w:sz w:val="24"/>
          <w:szCs w:val="24"/>
        </w:rPr>
        <w:t xml:space="preserve"> понятия</w:t>
      </w:r>
      <w:r>
        <w:rPr>
          <w:rFonts w:cs="Times New Roman" w:ascii="Times New Roman" w:hAnsi="Times New Roman"/>
          <w:sz w:val="24"/>
          <w:szCs w:val="24"/>
        </w:rPr>
        <w:t>ми таких разделов математики, как теория вероятностей, общая алгебра, теория чисел.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170" w:afterAutospacing="0" w:after="170"/>
        <w:jc w:val="center"/>
        <w:textAlignment w:val="baseline"/>
        <w:rPr/>
      </w:pPr>
      <w:r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</w:p>
    <w:p>
      <w:pPr>
        <w:pStyle w:val="Normal"/>
        <w:spacing w:before="113" w:after="57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Тема 1. </w:t>
      </w:r>
      <w:r>
        <w:rPr>
          <w:rFonts w:cs="Times New Roman" w:ascii="Times New Roman" w:hAnsi="Times New Roman"/>
          <w:b/>
          <w:bCs/>
          <w:color w:val="000000"/>
          <w:spacing w:val="3"/>
          <w:sz w:val="24"/>
          <w:szCs w:val="24"/>
        </w:rPr>
        <w:t>Из истории криптографии.</w:t>
      </w:r>
    </w:p>
    <w:p>
      <w:pPr>
        <w:pStyle w:val="Normal"/>
        <w:spacing w:before="113" w:after="57"/>
        <w:rPr/>
      </w:pPr>
      <w:r>
        <w:rPr>
          <w:rFonts w:cs="Times New Roman" w:ascii="Times New Roman" w:hAnsi="Times New Roman"/>
          <w:sz w:val="24"/>
          <w:szCs w:val="24"/>
        </w:rPr>
        <w:t>Примеры систем шифрования с античности до начала XX века. Шифр Вернама. Начало криптографии как науки. «Новые направления криптографии» (1970-е гг.), примеры криптографических протоколов (протокол Диффи—Хеллмана, криптосистема Эль-Гамаля, криптосистема RSA, схема подписи RSA, схема разделения секрета Блэкли, протокол Блюма подбрасывания монеты по телефону).</w:t>
      </w:r>
    </w:p>
    <w:p>
      <w:pPr>
        <w:pStyle w:val="Normal"/>
        <w:spacing w:before="113" w:after="57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Тема 2. </w:t>
      </w:r>
      <w:r>
        <w:rPr>
          <w:rFonts w:cs="Times New Roman" w:ascii="Times New Roman" w:hAnsi="Times New Roman"/>
          <w:b/>
          <w:bCs/>
          <w:color w:val="000000"/>
          <w:spacing w:val="3"/>
          <w:sz w:val="24"/>
          <w:szCs w:val="24"/>
        </w:rPr>
        <w:t>Предмет теоретической крипто</w:t>
      </w:r>
      <w:r>
        <w:rPr>
          <w:rFonts w:cs="Times New Roman" w:ascii="Times New Roman" w:hAnsi="Times New Roman"/>
          <w:b/>
          <w:bCs/>
          <w:color w:val="000000"/>
          <w:spacing w:val="3"/>
          <w:sz w:val="24"/>
          <w:szCs w:val="24"/>
        </w:rPr>
        <w:t>г</w:t>
      </w:r>
      <w:r>
        <w:rPr>
          <w:rFonts w:cs="Times New Roman" w:ascii="Times New Roman" w:hAnsi="Times New Roman"/>
          <w:b/>
          <w:bCs/>
          <w:color w:val="000000"/>
          <w:spacing w:val="3"/>
          <w:sz w:val="24"/>
          <w:szCs w:val="24"/>
        </w:rPr>
        <w:t>рафии.</w:t>
      </w:r>
    </w:p>
    <w:p>
      <w:pPr>
        <w:pStyle w:val="Normal"/>
        <w:spacing w:before="113" w:after="57"/>
        <w:ind w:hanging="0"/>
        <w:rPr/>
      </w:pPr>
      <w:r>
        <w:rPr>
          <w:rFonts w:cs="Times New Roman" w:ascii="Times New Roman" w:hAnsi="Times New Roman"/>
          <w:sz w:val="24"/>
          <w:szCs w:val="24"/>
        </w:rPr>
        <w:t>Три задачи криптографии. Криптографические протоколы. Криптографические примитивы. Модель противника. Понятие стойкости. Криптосинтез и криптоанализ.</w:t>
      </w:r>
    </w:p>
    <w:p>
      <w:pPr>
        <w:pStyle w:val="Normal"/>
        <w:spacing w:before="113" w:after="57"/>
        <w:ind w:hanging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Тема 3. </w:t>
      </w:r>
      <w:r>
        <w:rPr>
          <w:rFonts w:cs="Times New Roman" w:ascii="Times New Roman" w:hAnsi="Times New Roman"/>
          <w:b/>
          <w:bCs/>
          <w:color w:val="000000"/>
          <w:spacing w:val="3"/>
          <w:sz w:val="24"/>
          <w:szCs w:val="24"/>
        </w:rPr>
        <w:t>Основные положения теории Шеннона.</w:t>
      </w:r>
    </w:p>
    <w:p>
      <w:pPr>
        <w:pStyle w:val="Normal"/>
        <w:spacing w:before="113" w:after="57"/>
        <w:ind w:hanging="0"/>
        <w:rPr/>
      </w:pPr>
      <w:r>
        <w:rPr>
          <w:rFonts w:cs="Times New Roman" w:ascii="Times New Roman" w:hAnsi="Times New Roman"/>
          <w:sz w:val="24"/>
          <w:szCs w:val="24"/>
        </w:rPr>
        <w:t>Системы связи с секретностью. Критерии оценки таких систем. Априорные и апостериорные вероятности. Совершенная секретность и ее необходимое условие. Энтропия как мера неопределенности. Расстояние единственности. Идеальные системы.</w:t>
      </w:r>
    </w:p>
    <w:p>
      <w:pPr>
        <w:pStyle w:val="Normal"/>
        <w:spacing w:before="113" w:after="57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Тема 4. </w:t>
      </w:r>
      <w:r>
        <w:rPr>
          <w:rFonts w:cs="Times New Roman" w:ascii="Times New Roman" w:hAnsi="Times New Roman"/>
          <w:b/>
          <w:bCs/>
          <w:color w:val="000000"/>
          <w:spacing w:val="3"/>
          <w:sz w:val="24"/>
          <w:szCs w:val="24"/>
        </w:rPr>
        <w:t>Элементы теории сложности вычислений.</w:t>
      </w:r>
    </w:p>
    <w:p>
      <w:pPr>
        <w:pStyle w:val="Normal"/>
        <w:spacing w:before="113" w:after="57"/>
        <w:ind w:hanging="0"/>
        <w:rPr/>
      </w:pPr>
      <w:r>
        <w:rPr>
          <w:rFonts w:cs="Times New Roman" w:ascii="Times New Roman" w:hAnsi="Times New Roman"/>
          <w:color w:val="000000"/>
          <w:spacing w:val="3"/>
          <w:sz w:val="24"/>
          <w:szCs w:val="24"/>
        </w:rPr>
        <w:t>Вычислительная задача: распознавательный и поисковый варианты (язык и отношение). Однородная и неоднородная модели вычислений: машина Тьюринга (детерминированная, недетерминированная, вероятностная, с оракулом) и семейство булевых схем. Тезисы Тьюринга—Чёрча и Эдмондса. Классы сложностей DTIME, P, EXP, NP, BPP, RP, PSPACE, P/poly и их соотношения. Теоремы о распознаваемости языков из P/poly семейством схем полиномиального размера и о соотношении классов BPP и P/poly.</w:t>
      </w:r>
    </w:p>
    <w:p>
      <w:pPr>
        <w:pStyle w:val="Normal"/>
        <w:spacing w:before="113" w:after="57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Тема 5. </w:t>
      </w:r>
      <w:r>
        <w:rPr>
          <w:rFonts w:cs="Times New Roman" w:ascii="Times New Roman" w:hAnsi="Times New Roman"/>
          <w:b/>
          <w:bCs/>
          <w:color w:val="000000"/>
          <w:spacing w:val="3"/>
          <w:sz w:val="24"/>
          <w:szCs w:val="24"/>
        </w:rPr>
        <w:t>Односторонняя функция и трудный предикат.</w:t>
      </w:r>
    </w:p>
    <w:p>
      <w:pPr>
        <w:pStyle w:val="Normal"/>
        <w:spacing w:before="113" w:after="57"/>
        <w:ind w:hanging="0"/>
        <w:rPr/>
      </w:pPr>
      <w:r>
        <w:rPr>
          <w:rFonts w:cs="Times New Roman" w:ascii="Times New Roman" w:hAnsi="Times New Roman"/>
          <w:color w:val="000000"/>
          <w:spacing w:val="3"/>
          <w:sz w:val="24"/>
          <w:szCs w:val="24"/>
        </w:rPr>
        <w:t xml:space="preserve">Сильно и слабо односторонние функции. Теорема Яо. 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</w:rPr>
        <w:t>Односторонние семейства функций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</w:rPr>
        <w:t>. Дискретная экспонента как кандидат в односторонние функции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</w:rPr>
        <w:t xml:space="preserve">. 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</w:rPr>
        <w:t>Трудный предикат для функции. Теорема Гольдрайха—Левина.</w:t>
      </w:r>
    </w:p>
    <w:p>
      <w:pPr>
        <w:pStyle w:val="Normal"/>
        <w:spacing w:before="113" w:after="57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Тема 6. </w:t>
      </w:r>
      <w:r>
        <w:rPr>
          <w:rFonts w:cs="Times New Roman" w:ascii="Times New Roman" w:hAnsi="Times New Roman"/>
          <w:b/>
          <w:bCs/>
          <w:color w:val="000000"/>
          <w:spacing w:val="3"/>
          <w:sz w:val="24"/>
          <w:szCs w:val="24"/>
        </w:rPr>
        <w:t>Генераторы псевдослучайных последовательностей.</w:t>
      </w:r>
    </w:p>
    <w:p>
      <w:pPr>
        <w:pStyle w:val="Normal"/>
        <w:spacing w:before="113" w:after="57"/>
        <w:ind w:hanging="0"/>
        <w:rPr/>
      </w:pPr>
      <w:r>
        <w:rPr>
          <w:rFonts w:cs="Times New Roman" w:ascii="Times New Roman" w:hAnsi="Times New Roman"/>
          <w:color w:val="000000"/>
          <w:spacing w:val="3"/>
          <w:sz w:val="24"/>
          <w:szCs w:val="24"/>
        </w:rPr>
        <w:t>Два определения криптографически стойкого генератора псевдослучайных последовательностей. Теорема Яо об эквивалентности этих определений. Теорема о «растягивании» выхода псевдослучайного генератора. Теорема Хостада—Импальяццо—Левина—Луби.</w:t>
      </w:r>
    </w:p>
    <w:p>
      <w:pPr>
        <w:pStyle w:val="Normal"/>
        <w:spacing w:before="113" w:after="57"/>
        <w:ind w:hanging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pacing w:val="3"/>
          <w:sz w:val="24"/>
          <w:szCs w:val="24"/>
        </w:rPr>
        <w:t xml:space="preserve">Тема 7. </w:t>
      </w:r>
      <w:r>
        <w:rPr>
          <w:rFonts w:cs="Times New Roman"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Криптосистемы с секретным ключом.</w:t>
      </w:r>
    </w:p>
    <w:p>
      <w:pPr>
        <w:pStyle w:val="Normal"/>
        <w:spacing w:before="113" w:after="57"/>
        <w:ind w:hanging="0"/>
        <w:rPr/>
      </w:pPr>
      <w:r>
        <w:rPr>
          <w:rFonts w:cs="Times New Roman" w:ascii="Times New Roman" w:hAnsi="Times New Roman"/>
          <w:color w:val="000000"/>
          <w:spacing w:val="3"/>
          <w:sz w:val="24"/>
          <w:szCs w:val="24"/>
        </w:rPr>
        <w:t>Определение. Блоковые и потоковые криптосистемы. Модель противника (варианты атак и угроз). Пример определения стойкости и (гипотетический) пример стойкой криптосистемы. Необходимое и достаточное условие существования стойких криптосистем.</w:t>
      </w:r>
    </w:p>
    <w:p>
      <w:pPr>
        <w:pStyle w:val="Normal"/>
        <w:spacing w:before="113" w:after="57"/>
        <w:ind w:hanging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pacing w:val="3"/>
          <w:sz w:val="24"/>
          <w:szCs w:val="24"/>
        </w:rPr>
        <w:t xml:space="preserve">Тема 8. </w:t>
      </w:r>
      <w:r>
        <w:rPr>
          <w:rFonts w:cs="Times New Roman"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Криптографические хэш-функции.</w:t>
      </w:r>
    </w:p>
    <w:p>
      <w:pPr>
        <w:pStyle w:val="Normal"/>
        <w:spacing w:before="113" w:after="57"/>
        <w:ind w:hanging="0"/>
        <w:rPr/>
      </w:pP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ru-RU" w:eastAsia="en-US" w:bidi="ar-SA"/>
        </w:rPr>
        <w:t xml:space="preserve">Определения семейства хэш-функций с трудно обнаружимыми коллизиями и одностороннего семейства хэш-функций. Лемма об </w:t>
      </w:r>
      <w:r>
        <w:rPr>
          <w:rFonts w:cs="Times New Roman" w:ascii="Times New Roman" w:hAnsi="Times New Roman"/>
          <w:i/>
          <w:iCs/>
          <w:color w:val="000000"/>
          <w:spacing w:val="3"/>
          <w:sz w:val="24"/>
          <w:szCs w:val="24"/>
          <w:lang w:val="ru-RU" w:eastAsia="en-US" w:bidi="ar-SA"/>
        </w:rPr>
        <w:t>l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ru-RU" w:eastAsia="en-US" w:bidi="ar-SA"/>
        </w:rPr>
        <w:t xml:space="preserve">-композиции. Теорема об </w:t>
      </w:r>
      <w:r>
        <w:rPr>
          <w:rFonts w:cs="Times New Roman" w:ascii="Times New Roman" w:hAnsi="Times New Roman"/>
          <w:i/>
          <w:iCs/>
          <w:color w:val="000000"/>
          <w:spacing w:val="3"/>
          <w:sz w:val="24"/>
          <w:szCs w:val="24"/>
          <w:lang w:val="ru-RU" w:eastAsia="en-US" w:bidi="ar-SA"/>
        </w:rPr>
        <w:t>l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ru-RU" w:eastAsia="en-US" w:bidi="ar-SA"/>
        </w:rPr>
        <w:t>(</w:t>
      </w:r>
      <w:r>
        <w:rPr>
          <w:rFonts w:cs="Times New Roman" w:ascii="Times New Roman" w:hAnsi="Times New Roman"/>
          <w:i/>
          <w:iCs/>
          <w:color w:val="000000"/>
          <w:spacing w:val="3"/>
          <w:sz w:val="24"/>
          <w:szCs w:val="24"/>
          <w:lang w:val="ru-RU" w:eastAsia="en-US" w:bidi="ar-SA"/>
        </w:rPr>
        <w:t>n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ru-RU" w:eastAsia="en-US" w:bidi="ar-SA"/>
        </w:rPr>
        <w:t>)-композиции. Теорема Наора—Юнга. Теорема Ромпеля для хэш-функций.</w:t>
      </w:r>
    </w:p>
    <w:p>
      <w:pPr>
        <w:pStyle w:val="Normal"/>
        <w:spacing w:before="113" w:after="57"/>
        <w:ind w:hanging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pacing w:val="3"/>
          <w:sz w:val="24"/>
          <w:szCs w:val="24"/>
          <w:lang w:val="ru-RU" w:eastAsia="en-US" w:bidi="ar-SA"/>
        </w:rPr>
        <w:t xml:space="preserve">Тема 9. </w:t>
      </w:r>
      <w:r>
        <w:rPr>
          <w:rFonts w:cs="Times New Roman" w:ascii="Times New Roman" w:hAnsi="Times New Roman"/>
          <w:b/>
          <w:bCs/>
          <w:color w:val="000000"/>
          <w:spacing w:val="3"/>
          <w:sz w:val="24"/>
          <w:szCs w:val="24"/>
          <w:lang w:val="ru-RU" w:eastAsia="ru-RU" w:bidi="ar-SA"/>
        </w:rPr>
        <w:t>Схемы электронной подписи.</w:t>
      </w:r>
    </w:p>
    <w:p>
      <w:pPr>
        <w:pStyle w:val="Normal"/>
        <w:spacing w:before="113" w:after="57"/>
        <w:ind w:hanging="0"/>
        <w:rPr/>
      </w:pP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ru-RU" w:eastAsia="en-US" w:bidi="ar-SA"/>
        </w:rPr>
        <w:t xml:space="preserve">Определение и пример. Модель противника (варианты атак и угроз). Пример определения стойкости. Одноразовая схема Лэмпорта, 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ru-RU" w:eastAsia="en-US" w:bidi="ar-SA"/>
        </w:rPr>
        <w:t>преобразование её в многоразовую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ru-RU" w:eastAsia="en-US" w:bidi="ar-SA"/>
        </w:rPr>
        <w:t>. Теорема Ромпеля о стойкой схеме электронной подписи.</w:t>
      </w:r>
    </w:p>
    <w:p>
      <w:pPr>
        <w:pStyle w:val="Normal"/>
        <w:spacing w:before="113" w:after="57"/>
        <w:ind w:hanging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pacing w:val="3"/>
          <w:sz w:val="24"/>
          <w:szCs w:val="24"/>
          <w:lang w:val="ru-RU" w:eastAsia="en-US" w:bidi="ar-SA"/>
        </w:rPr>
        <w:t xml:space="preserve">Тема 10. </w:t>
      </w:r>
      <w:r>
        <w:rPr>
          <w:rFonts w:cs="Times New Roman" w:ascii="Times New Roman" w:hAnsi="Times New Roman"/>
          <w:b/>
          <w:bCs/>
          <w:color w:val="000000"/>
          <w:spacing w:val="3"/>
          <w:sz w:val="24"/>
          <w:szCs w:val="24"/>
          <w:lang w:val="ru-RU" w:eastAsia="ru-RU" w:bidi="ar-SA"/>
        </w:rPr>
        <w:t>Доказательства с нулевым разглашением.</w:t>
      </w:r>
    </w:p>
    <w:p>
      <w:pPr>
        <w:pStyle w:val="Normal"/>
        <w:spacing w:before="113" w:after="57"/>
        <w:ind w:hanging="0"/>
        <w:rPr/>
      </w:pP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ru-RU" w:eastAsia="en-US" w:bidi="ar-SA"/>
        </w:rPr>
        <w:t>Интерактивное доказательство. Свойство нулевого разглашения (три варианта определения). Классы сложностей IP, ZK, SZK, PZK. Теорема Гольдрайха—Микали—Вигдерсона. Интерактивное доказательство с нулевым разглашением для языка ИЗОМОРФИЗМ ГРАФОВ. Протокол привязки к биту.</w:t>
      </w:r>
    </w:p>
    <w:p>
      <w:pPr>
        <w:pStyle w:val="Normal"/>
        <w:spacing w:before="113" w:after="57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Тема 11. Криптосистемы с открытым ключом.</w:t>
      </w:r>
    </w:p>
    <w:p>
      <w:pPr>
        <w:pStyle w:val="Normal"/>
        <w:spacing w:before="113" w:after="57"/>
        <w:ind w:hanging="0"/>
        <w:rPr/>
      </w:pPr>
      <w:r>
        <w:rPr>
          <w:rFonts w:cs="Times New Roman" w:ascii="Times New Roman" w:hAnsi="Times New Roman"/>
          <w:sz w:val="24"/>
          <w:szCs w:val="24"/>
        </w:rPr>
        <w:t>Определение, пример. Атаки и угрозы. Семейства функций с секретом. Достаточное и необходимое условия существования стойких криптосистем с открытым ключом. Семейство функций Рабина как гипотетический пример семейства функций с секретом. Полиномиальная стойкость. Криптосистема Гольдвассер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</w:rPr>
        <w:t>—</w:t>
      </w:r>
      <w:r>
        <w:rPr>
          <w:rFonts w:cs="Times New Roman" w:ascii="Times New Roman" w:hAnsi="Times New Roman"/>
          <w:sz w:val="24"/>
          <w:szCs w:val="24"/>
        </w:rPr>
        <w:t>Микали.</w:t>
      </w:r>
    </w:p>
    <w:p>
      <w:pPr>
        <w:pStyle w:val="Normal"/>
        <w:spacing w:before="113" w:after="57"/>
        <w:ind w:hanging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Тема 12. Системы электронных платежей.</w:t>
      </w:r>
    </w:p>
    <w:p>
      <w:pPr>
        <w:pStyle w:val="Normal"/>
        <w:spacing w:before="113" w:after="57"/>
        <w:ind w:hanging="0"/>
        <w:rPr/>
      </w:pPr>
      <w:r>
        <w:rPr>
          <w:rFonts w:cs="Times New Roman" w:ascii="Times New Roman" w:hAnsi="Times New Roman"/>
          <w:sz w:val="24"/>
          <w:szCs w:val="24"/>
        </w:rPr>
        <w:t>Общая схема. Задача н</w:t>
      </w:r>
      <w:r>
        <w:rPr>
          <w:rFonts w:cs="Times New Roman" w:ascii="Times New Roman" w:hAnsi="Times New Roman"/>
          <w:sz w:val="24"/>
          <w:szCs w:val="24"/>
        </w:rPr>
        <w:t>еотслеживаемости. Схема подписи вслепую.</w:t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2"/>
        </w:numPr>
        <w:tabs>
          <w:tab w:val="left" w:pos="2115" w:leader="none"/>
        </w:tabs>
        <w:spacing w:before="170" w:after="17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ОЦЕНИВАНИЕ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целях текущего контроля в</w:t>
      </w:r>
      <w:r>
        <w:rPr>
          <w:rFonts w:ascii="Times New Roman" w:hAnsi="Times New Roman"/>
          <w:sz w:val="24"/>
          <w:szCs w:val="24"/>
        </w:rPr>
        <w:t xml:space="preserve"> рамках курса слушателям предлагается выполнить контрольную работу и домашние задания. Контрольная работа оценивается по 10-балльной шкале (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  <w:vertAlign w:val="subscript"/>
        </w:rPr>
        <w:t>КР</w:t>
      </w:r>
      <w:r>
        <w:rPr>
          <w:rFonts w:ascii="Times New Roman" w:hAnsi="Times New Roman"/>
          <w:sz w:val="24"/>
          <w:szCs w:val="24"/>
        </w:rPr>
        <w:t>). Каждое домашнее задание оценивается по 10-балльной шкале, общая оценка за домашние задания (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  <w:vertAlign w:val="subscript"/>
        </w:rPr>
        <w:t>ДЗ</w:t>
      </w:r>
      <w:r>
        <w:rPr>
          <w:rFonts w:ascii="Times New Roman" w:hAnsi="Times New Roman"/>
          <w:sz w:val="24"/>
          <w:szCs w:val="24"/>
        </w:rPr>
        <w:t>) является средним арифметическим оценок за каждое отдельное домашнее задание.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устный экзамен оценивается по 10-балльной шкале (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  <w:vertAlign w:val="subscript"/>
        </w:rPr>
        <w:t>Э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Результирующая оценка по учебной дисциплине вычисляется округлением значения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0,8·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  <w:vertAlign w:val="subscript"/>
        </w:rPr>
        <w:t>Э</w:t>
      </w:r>
      <w:r>
        <w:rPr>
          <w:rFonts w:ascii="Times New Roman" w:hAnsi="Times New Roman"/>
          <w:sz w:val="24"/>
          <w:szCs w:val="24"/>
        </w:rPr>
        <w:t xml:space="preserve"> + 0,1·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  <w:vertAlign w:val="subscript"/>
        </w:rPr>
        <w:t>ДЗ</w:t>
      </w:r>
      <w:r>
        <w:rPr>
          <w:rFonts w:ascii="Times New Roman" w:hAnsi="Times New Roman"/>
          <w:sz w:val="24"/>
          <w:szCs w:val="24"/>
        </w:rPr>
        <w:t xml:space="preserve"> + 0,1·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  <w:vertAlign w:val="subscript"/>
        </w:rPr>
        <w:t>КР</w:t>
      </w:r>
      <w:r>
        <w:rPr>
          <w:rFonts w:ascii="Times New Roman" w:hAnsi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</w:rPr>
        <w:t>,</w:t>
      </w:r>
    </w:p>
    <w:p>
      <w:pPr>
        <w:pStyle w:val="Normal"/>
        <w:widowControl/>
        <w:suppressAutoHyphens w:val="false"/>
        <w:bidi w:val="0"/>
        <w:spacing w:lineRule="exact" w:line="322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</w:rPr>
        <w:t xml:space="preserve">то есть </w:t>
      </w:r>
      <w:r>
        <w:rPr>
          <w:rFonts w:cs="Times New Roman" w:ascii="Times New Roman" w:hAnsi="Times New Roman"/>
          <w:b w:val="false"/>
          <w:bCs w:val="false"/>
          <w:i/>
          <w:iCs w:val="false"/>
          <w:position w:val="0"/>
          <w:sz w:val="24"/>
          <w:sz w:val="24"/>
          <w:szCs w:val="24"/>
          <w:vertAlign w:val="baseline"/>
        </w:rPr>
        <w:t>О</w:t>
      </w:r>
      <w:r>
        <w:rPr>
          <w:rFonts w:cs="Times New Roman" w:ascii="Times New Roman" w:hAnsi="Times New Roman"/>
          <w:b w:val="false"/>
          <w:bCs w:val="false"/>
          <w:i/>
          <w:iCs w:val="false"/>
          <w:sz w:val="24"/>
          <w:szCs w:val="24"/>
          <w:vertAlign w:val="subscript"/>
        </w:rPr>
        <w:t>результ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</w:rPr>
        <w:t xml:space="preserve"> =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vertAlign w:val="baseline"/>
        </w:rPr>
        <w:t>⌊0,8·</w:t>
      </w:r>
      <w:r>
        <w:rPr>
          <w:rFonts w:cs="Times New Roman" w:ascii="Times New Roman" w:hAnsi="Times New Roman"/>
          <w:b w:val="false"/>
          <w:bCs w:val="false"/>
          <w:i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vertAlign w:val="baseline"/>
        </w:rPr>
        <w:t>О</w:t>
      </w:r>
      <w:r>
        <w:rPr>
          <w:rFonts w:cs="Times New Roman" w:ascii="Times New Roman" w:hAnsi="Times New Roman"/>
          <w:b w:val="false"/>
          <w:bCs w:val="false"/>
          <w:i/>
          <w:iCs w:val="false"/>
          <w:caps w:val="false"/>
          <w:smallCaps w:val="false"/>
          <w:color w:val="000000"/>
          <w:spacing w:val="0"/>
          <w:sz w:val="24"/>
          <w:szCs w:val="24"/>
          <w:vertAlign w:val="subscript"/>
        </w:rPr>
        <w:t>Э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vertAlign w:val="baseline"/>
        </w:rPr>
        <w:t xml:space="preserve"> + 0,1·</w:t>
      </w:r>
      <w:r>
        <w:rPr>
          <w:rFonts w:cs="Times New Roman" w:ascii="Times New Roman" w:hAnsi="Times New Roman"/>
          <w:b w:val="false"/>
          <w:bCs w:val="false"/>
          <w:i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vertAlign w:val="baseline"/>
        </w:rPr>
        <w:t>О</w:t>
      </w:r>
      <w:r>
        <w:rPr>
          <w:rFonts w:cs="Times New Roman" w:ascii="Times New Roman" w:hAnsi="Times New Roman"/>
          <w:b w:val="false"/>
          <w:bCs w:val="false"/>
          <w:i/>
          <w:iCs w:val="false"/>
          <w:caps w:val="false"/>
          <w:smallCaps w:val="false"/>
          <w:color w:val="000000"/>
          <w:spacing w:val="0"/>
          <w:sz w:val="24"/>
          <w:szCs w:val="24"/>
          <w:vertAlign w:val="subscript"/>
        </w:rPr>
        <w:t>ДЗ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vertAlign w:val="baseline"/>
        </w:rPr>
        <w:t xml:space="preserve"> + 0,1·</w:t>
      </w:r>
      <w:r>
        <w:rPr>
          <w:rFonts w:cs="Times New Roman" w:ascii="Times New Roman" w:hAnsi="Times New Roman"/>
          <w:b w:val="false"/>
          <w:bCs w:val="false"/>
          <w:i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vertAlign w:val="baseline"/>
        </w:rPr>
        <w:t>О</w:t>
      </w:r>
      <w:r>
        <w:rPr>
          <w:rFonts w:cs="Times New Roman" w:ascii="Times New Roman" w:hAnsi="Times New Roman"/>
          <w:b w:val="false"/>
          <w:bCs w:val="false"/>
          <w:i/>
          <w:iCs w:val="false"/>
          <w:caps w:val="false"/>
          <w:smallCaps w:val="false"/>
          <w:color w:val="000000"/>
          <w:spacing w:val="0"/>
          <w:sz w:val="24"/>
          <w:szCs w:val="24"/>
          <w:vertAlign w:val="subscript"/>
        </w:rPr>
        <w:t>КР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sz w:val="24"/>
          <w:szCs w:val="24"/>
          <w:vertAlign w:val="baseline"/>
        </w:rPr>
        <w:t xml:space="preserve"> + 0,5⌋ (целая часть числа в скобках).</w:t>
      </w:r>
    </w:p>
    <w:p>
      <w:pPr>
        <w:pStyle w:val="Normal"/>
        <w:spacing w:lineRule="auto" w:line="259" w:before="0" w:after="0"/>
        <w:ind w:hanging="0"/>
        <w:jc w:val="both"/>
        <w:rPr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4"/>
          <w:vertAlign w:val="baseline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left" w:pos="2115" w:leader="none"/>
        </w:tabs>
        <w:spacing w:before="170" w:after="17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ПРИМЕРЫ ОЦЕНОЧНЫХ СРЕДСТВ</w:t>
      </w:r>
    </w:p>
    <w:p>
      <w:pPr>
        <w:pStyle w:val="Normal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Промежуточный контроль проводится с помощью письменной контрольной работы и домашних заданий. В конце учебного периода проводится устный экзамен.</w:t>
      </w:r>
    </w:p>
    <w:p>
      <w:pPr>
        <w:pStyle w:val="BodyText2"/>
        <w:spacing w:lineRule="auto" w:line="240"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Варианты заданий для письменной контрольной работы</w:t>
      </w:r>
    </w:p>
    <w:p>
      <w:pPr>
        <w:pStyle w:val="Normal"/>
        <w:numPr>
          <w:ilvl w:val="0"/>
          <w:numId w:val="8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 диаграмму недостающими знаками </w:t>
      </w:r>
      <w:r>
        <w:rPr>
          <w:rFonts w:eastAsia="MathJax_Main" w:cs="MathJax_Main" w:ascii="Times New Roman" w:hAnsi="Times New Roman"/>
          <w:sz w:val="24"/>
          <w:szCs w:val="24"/>
        </w:rPr>
        <w:t>⊆</w:t>
      </w:r>
      <w:r>
        <w:rPr>
          <w:rFonts w:ascii="Times New Roman" w:hAnsi="Times New Roman"/>
          <w:sz w:val="24"/>
          <w:szCs w:val="24"/>
        </w:rPr>
        <w:t xml:space="preserve"> нестрогого вложения между сложностными классами (вместо многоточий). Выбор знака обоснуйте.</w:t>
      </w:r>
    </w:p>
    <w:p>
      <w:pPr>
        <w:pStyle w:val="Normal"/>
        <w:numPr>
          <w:ilvl w:val="0"/>
          <w:numId w:val="8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Докажите, что если о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63500</wp:posOffset>
            </wp:positionV>
            <wp:extent cx="2128520" cy="12141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носторонняя функция существует, то классы P и NP не совпадают. (Постройте язык, зависящий от односторонней функции, который принадлежит NP, но не P.)</w:t>
      </w:r>
    </w:p>
    <w:p>
      <w:pPr>
        <w:pStyle w:val="Normal"/>
        <w:numPr>
          <w:ilvl w:val="0"/>
          <w:numId w:val="8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</w:t>
      </w:r>
      <w:r>
        <w:rPr>
          <w:rFonts w:ascii="Times New Roman" w:hAnsi="Times New Roman"/>
          <w:i/>
          <w:iCs/>
          <w:sz w:val="24"/>
          <w:szCs w:val="24"/>
        </w:rPr>
        <w:t xml:space="preserve">f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— перестановка. Докажите, что если для </w:t>
      </w:r>
      <w:r>
        <w:rPr>
          <w:rFonts w:ascii="Times New Roman" w:hAnsi="Times New Roman"/>
          <w:i/>
          <w:iCs/>
          <w:sz w:val="24"/>
          <w:szCs w:val="24"/>
        </w:rPr>
        <w:t>f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существует трудный предикат, то </w:t>
      </w:r>
      <w:r>
        <w:rPr>
          <w:rFonts w:ascii="Times New Roman" w:hAnsi="Times New Roman"/>
          <w:i/>
          <w:iCs/>
          <w:sz w:val="24"/>
          <w:szCs w:val="24"/>
        </w:rPr>
        <w:t xml:space="preserve">f </w:t>
      </w:r>
      <w:r>
        <w:rPr>
          <w:rFonts w:ascii="Times New Roman" w:hAnsi="Times New Roman"/>
          <w:i w:val="false"/>
          <w:iCs w:val="false"/>
          <w:sz w:val="24"/>
          <w:szCs w:val="24"/>
        </w:rPr>
        <w:t>— односторонняя.</w:t>
      </w:r>
    </w:p>
    <w:p>
      <w:pPr>
        <w:pStyle w:val="BodyText2"/>
        <w:spacing w:lineRule="auto" w:line="240" w:before="113" w:after="119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Примерные варианты домашних заданий</w:t>
      </w:r>
    </w:p>
    <w:p>
      <w:pPr>
        <w:pStyle w:val="Normal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Придумайте пороговую схему разделения секрета (так чтобы любые t участников вместе могли вычислить секрет, а t – 1 уже нет). (Например, воспользуйтесь интерполяционным многочленом Лагранжа.)</w:t>
      </w:r>
    </w:p>
    <w:p>
      <w:pPr>
        <w:pStyle w:val="Normal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 определении (сильно) односторонней функции не будем подавать на вход машине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A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строку 1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  <w:vertAlign w:val="superscript"/>
        </w:rPr>
        <w:t>n</w:t>
      </w:r>
      <w:r>
        <w:rPr>
          <w:rFonts w:ascii="Times New Roman" w:hAnsi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</w:rPr>
        <w:t>. Приведите пример функции, удовлетворяющей такому «испорченному» определению, но не являющуюся трудно инвертируемой в интуитивном понимании этого термина.</w:t>
      </w:r>
    </w:p>
    <w:p>
      <w:pPr>
        <w:pStyle w:val="Normal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Пусть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f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— односторонняя перестановка. Постройте криптографически стойкий генератор псевдослучайных последовательностей (воспользуйтесь теоремой Гольдрайха—Левина). Обоснуйте конструкцию.</w:t>
      </w:r>
    </w:p>
    <w:p>
      <w:pPr>
        <w:pStyle w:val="Normal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Докажите, что класс IP содержит NP и сам содержится в PSPACE.</w:t>
      </w:r>
    </w:p>
    <w:p>
      <w:pPr>
        <w:pStyle w:val="Normal"/>
        <w:ind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keepNext/>
        <w:ind w:hanging="0"/>
        <w:rPr>
          <w:rFonts w:ascii="Times New Roman" w:hAnsi="Times New Roman"/>
          <w:sz w:val="24"/>
          <w:szCs w:val="24"/>
        </w:rPr>
      </w:pPr>
      <w:bookmarkStart w:id="0" w:name="__DdeLink__888_12908203"/>
      <w:bookmarkEnd w:id="0"/>
      <w:r>
        <w:rPr>
          <w:rFonts w:ascii="Times New Roman" w:hAnsi="Times New Roman"/>
          <w:b/>
          <w:sz w:val="24"/>
          <w:szCs w:val="24"/>
        </w:rPr>
        <w:t>Вопросы к устному экзамену</w:t>
      </w:r>
    </w:p>
    <w:p>
      <w:pPr>
        <w:pStyle w:val="Normal"/>
        <w:numPr>
          <w:ilvl w:val="0"/>
          <w:numId w:val="10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Сильно и слабо односторонние функции. Теорема Яо об эквивалентности предположений о существовании сильно и слабо односторонних функций. Дискретная экспонента как кандидат в односторонние функции.</w:t>
      </w:r>
    </w:p>
    <w:p>
      <w:pPr>
        <w:pStyle w:val="Normal"/>
        <w:numPr>
          <w:ilvl w:val="0"/>
          <w:numId w:val="10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Трудный предикат для функции. Теорема Гольдрайха—Левина о существовании у односторонней функции трудного предиката.</w:t>
      </w:r>
    </w:p>
    <w:p>
      <w:pPr>
        <w:pStyle w:val="Normal"/>
        <w:numPr>
          <w:ilvl w:val="0"/>
          <w:numId w:val="10"/>
        </w:numPr>
        <w:spacing w:before="120" w:after="120"/>
        <w:rPr>
          <w:rFonts w:ascii="Times New Roman" w:hAnsi="Times New Roman"/>
          <w:sz w:val="24"/>
          <w:szCs w:val="24"/>
        </w:rPr>
      </w:pPr>
      <w:bookmarkStart w:id="1" w:name="__DdeLink__888_129082031"/>
      <w:bookmarkEnd w:id="1"/>
      <w:r>
        <w:rPr>
          <w:rFonts w:ascii="Times New Roman" w:hAnsi="Times New Roman"/>
          <w:sz w:val="24"/>
          <w:szCs w:val="24"/>
        </w:rPr>
        <w:t>Два определения генератора псевдослучайных последовательностей — через неотличимость от равномерно распределенных последовательностей и через непредсказуемость следующего бита. Теорема Яо об эквивалентности этих определений.</w:t>
      </w:r>
    </w:p>
    <w:p>
      <w:pPr>
        <w:pStyle w:val="Normal"/>
        <w:numPr>
          <w:ilvl w:val="0"/>
          <w:numId w:val="10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генератора псевдослучайных последовательностей с помощью произвольной односторонней перестановки. Теорема Хостада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—Импальяццо—Левина—Луби</w:t>
      </w:r>
      <w:r>
        <w:rPr>
          <w:rFonts w:ascii="Times New Roman" w:hAnsi="Times New Roman"/>
          <w:sz w:val="24"/>
          <w:szCs w:val="24"/>
        </w:rPr>
        <w:t xml:space="preserve"> о существовании генераторов псевдослучайных последовательностей (доказательство достаточного условия — только для случая односторонней перестановки).</w:t>
      </w:r>
    </w:p>
    <w:p>
      <w:pPr>
        <w:pStyle w:val="Normal"/>
        <w:numPr>
          <w:ilvl w:val="0"/>
          <w:numId w:val="10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Криптосистемы с секретным ключом. Блоковые и потоковые криптосистемы. Атаки на криптосистемы и угрозы безопасности криптосистем. Определение стойкости криптосистемы.</w:t>
      </w:r>
    </w:p>
    <w:p>
      <w:pPr>
        <w:pStyle w:val="Normal"/>
        <w:numPr>
          <w:ilvl w:val="0"/>
          <w:numId w:val="10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Доказательство существования стойкой потоковой криптосистемы с секретным ключом в предположении существования генератора псевдослучайных последовательностей.</w:t>
      </w:r>
    </w:p>
    <w:p>
      <w:pPr>
        <w:pStyle w:val="Normal"/>
        <w:numPr>
          <w:ilvl w:val="0"/>
          <w:numId w:val="10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семейства односторонних хэш-функций и семейства функций с трудно обнаружимыми коллизиями. Теорема Наора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Юнга о существовании семейства односторонних хэш-функций при условии существования односторонней перестановки.</w:t>
      </w:r>
    </w:p>
    <w:p>
      <w:pPr>
        <w:pStyle w:val="Normal"/>
        <w:numPr>
          <w:ilvl w:val="0"/>
          <w:numId w:val="10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схемы электронной подписи. Атаки на схемы электронной подписи и угрозы их безопасности. Определение стойкости схемы электронной подписи. Схема Лэмпорта. Теорема Ромпеля о существовании стойких схем электронной подписи (без доказательства).</w:t>
      </w:r>
    </w:p>
    <w:p>
      <w:pPr>
        <w:pStyle w:val="Normal"/>
        <w:numPr>
          <w:ilvl w:val="0"/>
          <w:numId w:val="10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протокола интерактивного доказательства для языка. Свойство нулевого разглашения: вычислительное, статистическое, абсолютное. Теорема Гольдрайха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Микали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Вигдерсона о существовании протоколов доказательства с нулевым разглашением для всех языков из класса NP (без доказательства).</w:t>
      </w:r>
    </w:p>
    <w:p>
      <w:pPr>
        <w:pStyle w:val="Normal"/>
        <w:numPr>
          <w:ilvl w:val="0"/>
          <w:numId w:val="10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криптосистемы с открытым ключом. Атаки и угрозы для криптосистем с открытым ключом. Семейства функций с секретом. Условия существования стойких криптосистем с открытым ключом.</w:t>
      </w:r>
    </w:p>
    <w:p>
      <w:pPr>
        <w:pStyle w:val="Normal"/>
        <w:numPr>
          <w:ilvl w:val="0"/>
          <w:numId w:val="10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Семейство функций Рабина как гипотетический пример семейства функций с секретом.</w:t>
      </w:r>
    </w:p>
    <w:p>
      <w:pPr>
        <w:pStyle w:val="Normal"/>
        <w:numPr>
          <w:ilvl w:val="0"/>
          <w:numId w:val="10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Полиномиальная стойкость систем вероятностного шифрования. Конструкция Гольдвассер—Микали как гипотетический пример стойкой в этом смысле криптосистемы.</w:t>
      </w:r>
    </w:p>
    <w:p>
      <w:pPr>
        <w:pStyle w:val="Normal"/>
        <w:numPr>
          <w:ilvl w:val="0"/>
          <w:numId w:val="10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Системы электронных платежей. Понятие неотслеживаемости и другие требования к системе. </w:t>
      </w:r>
    </w:p>
    <w:p>
      <w:pPr>
        <w:pStyle w:val="Normal"/>
        <w:numPr>
          <w:ilvl w:val="0"/>
          <w:numId w:val="0"/>
        </w:numPr>
        <w:spacing w:before="120" w:after="120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120" w:after="120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Дополнительные вопросы на устном экзамене</w:t>
      </w:r>
    </w:p>
    <w:p>
      <w:pPr>
        <w:pStyle w:val="Normal"/>
        <w:numPr>
          <w:ilvl w:val="0"/>
          <w:numId w:val="11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Классы сложностей P, NP, RP, BPP, EXP, P/poly, IP, ZK и их соотношения.</w:t>
      </w:r>
    </w:p>
    <w:p>
      <w:pPr>
        <w:pStyle w:val="Normal"/>
        <w:numPr>
          <w:ilvl w:val="0"/>
          <w:numId w:val="11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Диффи—Хеллмана.</w:t>
      </w:r>
    </w:p>
    <w:p>
      <w:pPr>
        <w:pStyle w:val="Normal"/>
        <w:numPr>
          <w:ilvl w:val="0"/>
          <w:numId w:val="11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Криптосистема Эль-Гамаля.</w:t>
      </w:r>
    </w:p>
    <w:p>
      <w:pPr>
        <w:pStyle w:val="Normal"/>
        <w:numPr>
          <w:ilvl w:val="0"/>
          <w:numId w:val="11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Криптосистема RSA.</w:t>
      </w:r>
    </w:p>
    <w:p>
      <w:pPr>
        <w:pStyle w:val="Normal"/>
        <w:numPr>
          <w:ilvl w:val="0"/>
          <w:numId w:val="11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электронной подписи RSA.</w:t>
      </w:r>
    </w:p>
    <w:p>
      <w:pPr>
        <w:pStyle w:val="Normal"/>
        <w:numPr>
          <w:ilvl w:val="0"/>
          <w:numId w:val="11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доказательства с абсолютно нулевым разглашением (например, для языка ИЗОМОРФИЗМ ГРАФОВ). </w:t>
      </w:r>
    </w:p>
    <w:p>
      <w:pPr>
        <w:pStyle w:val="Normal"/>
        <w:numPr>
          <w:ilvl w:val="0"/>
          <w:numId w:val="11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привязки к биту (bit commitment). </w:t>
      </w:r>
    </w:p>
    <w:p>
      <w:pPr>
        <w:pStyle w:val="Normal"/>
        <w:numPr>
          <w:ilvl w:val="0"/>
          <w:numId w:val="11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неведомой передачи (oblivious transfer). </w:t>
      </w:r>
    </w:p>
    <w:p>
      <w:pPr>
        <w:pStyle w:val="Normal"/>
        <w:numPr>
          <w:ilvl w:val="0"/>
          <w:numId w:val="11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электронной подписи вслепую (blind signature).</w:t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Задачи на устном экзамене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аналогичны заданиям на контрольной работе и домашним заданиям.</w:t>
      </w:r>
    </w:p>
    <w:p>
      <w:pPr>
        <w:pStyle w:val="Normal"/>
        <w:spacing w:lineRule="auto" w:line="259" w:before="0" w:after="0"/>
        <w:ind w:left="440" w:hanging="0"/>
        <w:jc w:val="both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numPr>
          <w:ilvl w:val="0"/>
          <w:numId w:val="4"/>
        </w:numPr>
        <w:tabs>
          <w:tab w:val="left" w:pos="2115" w:leader="none"/>
        </w:tabs>
        <w:jc w:val="center"/>
        <w:rPr/>
      </w:pPr>
      <w:r>
        <w:rPr>
          <w:rFonts w:eastAsia="Times New Roman" w:cs="Times New Roman" w:ascii="Times New Roman" w:hAnsi="Times New Roman"/>
          <w:b/>
          <w:szCs w:val="24"/>
        </w:rPr>
        <w:t>РЕСУРСЫ</w:t>
      </w:r>
    </w:p>
    <w:p>
      <w:pPr>
        <w:pStyle w:val="Normal"/>
        <w:numPr>
          <w:ilvl w:val="1"/>
          <w:numId w:val="4"/>
        </w:numPr>
        <w:tabs>
          <w:tab w:val="left" w:pos="2115" w:leader="none"/>
        </w:tabs>
        <w:rPr>
          <w:rFonts w:ascii="Times New Roman" w:hAnsi="Times New Roman" w:eastAsia="Times New Roman" w:cs="Times New Roman"/>
          <w:b/>
          <w:b/>
          <w:szCs w:val="24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Основная литература 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exact" w:line="259" w:before="53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pacing w:val="3"/>
          <w:sz w:val="22"/>
          <w:szCs w:val="22"/>
          <w:lang w:val="en-US"/>
        </w:rPr>
        <w:t xml:space="preserve">O. Goldreich. Foundations of cryptography: Volume 1 (Basic tools). — Cambridge, UK: Cambridge University Press, 2001. — </w:t>
        <w:br/>
      </w:r>
      <w:r>
        <w:rPr>
          <w:rFonts w:eastAsia="Times New Roman" w:cs="Times New Roman" w:ascii="Times New Roman" w:hAnsi="Times New Roman"/>
          <w:color w:val="000000"/>
          <w:spacing w:val="3"/>
          <w:sz w:val="22"/>
          <w:szCs w:val="22"/>
          <w:lang w:val="en-US"/>
        </w:rPr>
        <w:t>URL:</w:t>
      </w:r>
      <w:r>
        <w:rPr>
          <w:rFonts w:ascii="Times New Roman" w:hAnsi="Times New Roman"/>
          <w:color w:val="000000"/>
          <w:spacing w:val="3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color w:val="000000"/>
          <w:spacing w:val="3"/>
          <w:sz w:val="22"/>
          <w:szCs w:val="22"/>
          <w:lang w:val="en-US"/>
        </w:rPr>
        <w:t>http://www.wisdom.weizmann.ac.il/~oded/foc-vol1.html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exact" w:line="259" w:before="53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pacing w:val="3"/>
          <w:sz w:val="22"/>
          <w:szCs w:val="22"/>
          <w:lang w:val="en-US"/>
        </w:rPr>
        <w:t>O. Goldreich. Foundations of cryptography: Volume 2 (Basic applications). — Cambridge, UK: Cambridge University Press, 2004.</w:t>
      </w:r>
      <w:r>
        <w:rPr>
          <w:rFonts w:ascii="Times New Roman" w:hAnsi="Times New Roman"/>
          <w:color w:val="000000"/>
          <w:spacing w:val="3"/>
          <w:sz w:val="22"/>
          <w:szCs w:val="22"/>
          <w:lang w:val="en-US"/>
        </w:rPr>
        <w:t xml:space="preserve"> — </w:t>
        <w:br/>
      </w:r>
      <w:r>
        <w:rPr>
          <w:rFonts w:eastAsia="Times New Roman" w:cs="Times New Roman" w:ascii="Times New Roman" w:hAnsi="Times New Roman"/>
          <w:color w:val="000000"/>
          <w:spacing w:val="3"/>
          <w:sz w:val="22"/>
          <w:szCs w:val="22"/>
          <w:lang w:val="en-US"/>
        </w:rPr>
        <w:t>URL:</w:t>
      </w:r>
      <w:r>
        <w:rPr>
          <w:rFonts w:ascii="Times New Roman" w:hAnsi="Times New Roman"/>
          <w:color w:val="000000"/>
          <w:spacing w:val="3"/>
          <w:sz w:val="22"/>
          <w:szCs w:val="22"/>
          <w:lang w:val="en-US"/>
        </w:rPr>
        <w:t xml:space="preserve"> http://www.wisdom.weizmann.ac.il/~oded/foc-vol2.html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exact" w:line="259" w:before="53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pacing w:val="3"/>
          <w:sz w:val="22"/>
          <w:szCs w:val="22"/>
          <w:lang w:val="en-US"/>
        </w:rPr>
        <w:t xml:space="preserve">S. Goldwasser, M. Bellare. Lecture notes on cryptography. — </w:t>
        <w:br/>
      </w:r>
      <w:r>
        <w:rPr>
          <w:rFonts w:eastAsia="Times New Roman" w:cs="Times New Roman" w:ascii="Times New Roman" w:hAnsi="Times New Roman"/>
          <w:color w:val="000000"/>
          <w:spacing w:val="3"/>
          <w:sz w:val="22"/>
          <w:szCs w:val="22"/>
          <w:lang w:val="en-US"/>
        </w:rPr>
        <w:t xml:space="preserve">URL: </w:t>
      </w:r>
      <w:r>
        <w:rPr>
          <w:rFonts w:ascii="Times New Roman" w:hAnsi="Times New Roman"/>
          <w:color w:val="000000"/>
          <w:spacing w:val="3"/>
          <w:sz w:val="22"/>
          <w:szCs w:val="22"/>
          <w:lang w:val="en-US"/>
        </w:rPr>
        <w:t>http://cseweb.ucsd.edu/users/mihir/papers/gb.pdf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exact" w:line="259" w:before="53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pacing w:val="3"/>
          <w:sz w:val="22"/>
          <w:szCs w:val="22"/>
          <w:lang w:val="en-US"/>
        </w:rPr>
        <w:t xml:space="preserve">M. Luby. Pseudorandomness and cryptographic applications. — Princeton, New Jersey: Princeton University Press, 1996. — </w:t>
        <w:br/>
      </w:r>
      <w:r>
        <w:rPr>
          <w:rFonts w:eastAsia="Times New Roman" w:cs="Times New Roman" w:ascii="Times New Roman" w:hAnsi="Times New Roman"/>
          <w:color w:val="000000"/>
          <w:spacing w:val="3"/>
          <w:sz w:val="22"/>
          <w:szCs w:val="22"/>
          <w:lang w:val="en-US"/>
        </w:rPr>
        <w:t>URL:</w:t>
      </w:r>
      <w:r>
        <w:rPr>
          <w:rFonts w:ascii="Times New Roman" w:hAnsi="Times New Roman"/>
          <w:color w:val="000000"/>
          <w:spacing w:val="3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color w:val="000000"/>
          <w:spacing w:val="3"/>
          <w:sz w:val="22"/>
          <w:szCs w:val="22"/>
          <w:lang w:val="en-US"/>
        </w:rPr>
        <w:t>https://books.google.ru/books?hl=en&amp;lr=&amp;id=1eI9DwAAQBAJ — Google Books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exact" w:line="259" w:before="53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pacing w:val="3"/>
          <w:sz w:val="22"/>
          <w:szCs w:val="22"/>
        </w:rPr>
        <w:t xml:space="preserve">М. И. Анохин. Введение в математическую криптографию. Математическая криптография: Конспект лекций. — 2017. — </w:t>
        <w:br/>
      </w:r>
      <w:r>
        <w:rPr>
          <w:rFonts w:eastAsia="Times New Roman" w:cs="Times New Roman" w:ascii="Times New Roman" w:hAnsi="Times New Roman"/>
          <w:color w:val="000000"/>
          <w:spacing w:val="3"/>
          <w:sz w:val="22"/>
          <w:szCs w:val="22"/>
          <w:lang w:val="en-US"/>
        </w:rPr>
        <w:t xml:space="preserve">URL: </w:t>
      </w:r>
      <w:r>
        <w:rPr>
          <w:rFonts w:ascii="Times New Roman" w:hAnsi="Times New Roman"/>
          <w:color w:val="000000"/>
          <w:spacing w:val="3"/>
          <w:sz w:val="22"/>
          <w:szCs w:val="22"/>
        </w:rPr>
        <w:t>http://cryptography.ru/info/курс_лекций_м-_и-_анохина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exact" w:line="259" w:before="53" w:after="0"/>
        <w:jc w:val="left"/>
        <w:rPr/>
      </w:pPr>
      <w:r>
        <w:rPr>
          <w:rFonts w:ascii="Times New Roman" w:hAnsi="Times New Roman"/>
          <w:color w:val="000000"/>
          <w:spacing w:val="3"/>
          <w:sz w:val="22"/>
          <w:szCs w:val="22"/>
        </w:rPr>
        <w:t xml:space="preserve">Н. П. Варновский. Курс лекций по математической криптографии: (Предварительная версия). — 2009. — </w:t>
        <w:br/>
      </w:r>
      <w:r>
        <w:rPr>
          <w:rFonts w:eastAsia="Times New Roman" w:cs="Times New Roman" w:ascii="Times New Roman" w:hAnsi="Times New Roman"/>
          <w:color w:val="000000"/>
          <w:spacing w:val="3"/>
          <w:sz w:val="22"/>
          <w:szCs w:val="22"/>
          <w:lang w:val="en-US"/>
        </w:rPr>
        <w:t xml:space="preserve">URL: </w:t>
      </w:r>
      <w:r>
        <w:rPr>
          <w:rFonts w:ascii="Times New Roman" w:hAnsi="Times New Roman"/>
          <w:color w:val="000000"/>
          <w:spacing w:val="3"/>
          <w:sz w:val="22"/>
          <w:szCs w:val="22"/>
        </w:rPr>
        <w:t>http://cryptography.ru/wp-content/uploads/2014/11/varn_lectures_long.pdf</w:t>
      </w:r>
    </w:p>
    <w:p>
      <w:pPr>
        <w:pStyle w:val="Normal"/>
        <w:tabs>
          <w:tab w:val="left" w:pos="284" w:leader="none"/>
        </w:tabs>
        <w:spacing w:lineRule="auto" w:line="271" w:before="0" w:after="0"/>
        <w:ind w:right="84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numPr>
          <w:ilvl w:val="1"/>
          <w:numId w:val="4"/>
        </w:numPr>
        <w:tabs>
          <w:tab w:val="left" w:pos="2115" w:leader="none"/>
        </w:tabs>
        <w:rPr>
          <w:rFonts w:ascii="Times New Roman" w:hAnsi="Times New Roman" w:eastAsia="Times New Roman" w:cs="Times New Roman"/>
          <w:b/>
          <w:b/>
          <w:szCs w:val="24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Дополнительная литература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exact" w:line="259" w:before="53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pacing w:val="3"/>
          <w:sz w:val="22"/>
          <w:szCs w:val="22"/>
        </w:rPr>
        <w:t xml:space="preserve">Ященко, В. В. Введение в криптографию / В. В. Ященко, Н. П. Варновский, Ю. В. Нестеренко и др.; Под ред. В. В. Ященко . – Изд. 4-е, доп. – М.: МЦНМО, 2012. – 347 с. - ISBN 978-5-443-90026-1. 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exact" w:line="259" w:before="53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Гэри, М. Вычислительные машины и труднорешаемые задачи / М. Гэри, Д. Джонсон; Пер. с англ. Е. В. Левнера, М. А. Фрумкина; Под ред. А. А. Фридмана. – М.: Мир, 1982. – 416 с. 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284" w:leader="none"/>
        </w:tabs>
        <w:spacing w:lineRule="exact" w:line="259" w:before="53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val="en-US"/>
        </w:rPr>
        <w:t>Н. Н. Писарук. Сложность вычислений и криптография: (Предварительная версия).</w:t>
      </w:r>
      <w:r>
        <w:rPr>
          <w:rFonts w:eastAsia="Times New Roman" w:cs="Times New Roman" w:ascii="Times New Roman" w:hAnsi="Times New Roman"/>
          <w:color w:val="000000"/>
          <w:spacing w:val="3"/>
          <w:sz w:val="22"/>
          <w:szCs w:val="22"/>
          <w:lang w:val="en-US"/>
        </w:rPr>
        <w:t> —</w:t>
      </w:r>
      <w:r>
        <w:rPr>
          <w:rFonts w:eastAsia="Times New Roman" w:cs="Times New Roman" w:ascii="Times New Roman" w:hAnsi="Times New Roman"/>
          <w:sz w:val="22"/>
          <w:szCs w:val="22"/>
          <w:lang w:val="en-US"/>
        </w:rPr>
        <w:t xml:space="preserve"> Минск, 1999.</w:t>
      </w:r>
      <w:r>
        <w:rPr>
          <w:rFonts w:eastAsia="Times New Roman" w:cs="Times New Roman" w:ascii="Times New Roman" w:hAnsi="Times New Roman"/>
          <w:color w:val="000000"/>
          <w:spacing w:val="3"/>
          <w:sz w:val="22"/>
          <w:szCs w:val="22"/>
          <w:lang w:val="en-US"/>
        </w:rPr>
        <w:t> —</w:t>
      </w:r>
      <w:r>
        <w:rPr>
          <w:rFonts w:eastAsia="Times New Roman" w:cs="Times New Roman" w:ascii="Times New Roman" w:hAnsi="Times New Roman"/>
          <w:sz w:val="22"/>
          <w:szCs w:val="22"/>
          <w:lang w:val="en-US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  <w:lang w:val="en-US"/>
        </w:rPr>
        <w:t xml:space="preserve">URL: </w:t>
      </w:r>
      <w:r>
        <w:rPr>
          <w:rFonts w:eastAsia="Times New Roman" w:cs="Times New Roman" w:ascii="Times New Roman" w:hAnsi="Times New Roman"/>
          <w:sz w:val="22"/>
          <w:szCs w:val="22"/>
          <w:lang w:val="en-US"/>
        </w:rPr>
        <w:t>http://pisaruk.narod.ru/books/complexity.pdf</w:t>
      </w:r>
    </w:p>
    <w:p>
      <w:pPr>
        <w:pStyle w:val="Normal"/>
        <w:tabs>
          <w:tab w:val="left" w:pos="2115" w:leader="none"/>
        </w:tabs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numPr>
          <w:ilvl w:val="1"/>
          <w:numId w:val="4"/>
        </w:numPr>
        <w:tabs>
          <w:tab w:val="left" w:pos="2115" w:leader="none"/>
        </w:tabs>
        <w:rPr>
          <w:rFonts w:ascii="Times New Roman" w:hAnsi="Times New Roman" w:eastAsia="Times New Roman" w:cs="Times New Roman"/>
          <w:bCs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Cs w:val="24"/>
        </w:rPr>
        <w:t>Программное обеспечение</w:t>
      </w:r>
    </w:p>
    <w:tbl>
      <w:tblPr>
        <w:tblW w:w="9345" w:type="dxa"/>
        <w:jc w:val="left"/>
        <w:tblInd w:w="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7" w:type="dxa"/>
          <w:bottom w:w="0" w:type="dxa"/>
          <w:right w:w="57" w:type="dxa"/>
        </w:tblCellMar>
        <w:tblLook w:val="04a0" w:noVBand="1" w:noHBand="0" w:lastColumn="0" w:firstColumn="1" w:lastRow="0" w:firstRow="1"/>
      </w:tblPr>
      <w:tblGrid>
        <w:gridCol w:w="442"/>
        <w:gridCol w:w="4574"/>
        <w:gridCol w:w="4329"/>
      </w:tblGrid>
      <w:tr>
        <w:trPr/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szCs w:val="24"/>
              </w:rPr>
              <w:t>п/п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jc w:val="center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4"/>
              </w:rPr>
              <w:t>Наименование</w:t>
            </w:r>
          </w:p>
          <w:p>
            <w:pPr>
              <w:pStyle w:val="Normal"/>
              <w:tabs>
                <w:tab w:val="left" w:pos="2115" w:leader="none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4"/>
              </w:rPr>
              <w:t>Условия доступа</w:t>
            </w:r>
          </w:p>
        </w:tc>
      </w:tr>
      <w:tr>
        <w:trPr/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szCs w:val="24"/>
                <w:lang w:val="en-US"/>
              </w:rPr>
              <w:t>1.</w:t>
            </w:r>
          </w:p>
        </w:tc>
        <w:tc>
          <w:tcPr>
            <w:tcW w:w="4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 w:eastAsia="Times New Roman" w:cs="Times New Roman"/>
                <w:szCs w:val="24"/>
              </w:rPr>
            </w:pPr>
            <w:r>
              <w:rPr/>
            </w: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Cs w:val="24"/>
              </w:rPr>
            </w:pPr>
            <w:r>
              <w:rPr/>
            </w:r>
          </w:p>
        </w:tc>
      </w:tr>
    </w:tbl>
    <w:p>
      <w:pPr>
        <w:pStyle w:val="Normal"/>
        <w:numPr>
          <w:ilvl w:val="1"/>
          <w:numId w:val="4"/>
        </w:numPr>
        <w:tabs>
          <w:tab w:val="left" w:pos="2115" w:leader="none"/>
        </w:tabs>
        <w:rPr>
          <w:rFonts w:ascii="Times New Roman" w:hAnsi="Times New Roman" w:eastAsia="Times New Roman" w:cs="Times New Roman"/>
          <w:bCs/>
          <w:szCs w:val="24"/>
        </w:rPr>
      </w:pPr>
      <w:r>
        <w:rPr>
          <w:rFonts w:eastAsia="Times New Roman" w:cs="Times New Roman" w:ascii="Times New Roman" w:hAnsi="Times New Roman"/>
          <w:bCs/>
          <w:szCs w:val="24"/>
        </w:rPr>
      </w:r>
    </w:p>
    <w:p>
      <w:pPr>
        <w:pStyle w:val="Normal"/>
        <w:numPr>
          <w:ilvl w:val="1"/>
          <w:numId w:val="4"/>
        </w:numPr>
        <w:tabs>
          <w:tab w:val="left" w:pos="2115" w:leader="none"/>
        </w:tabs>
        <w:jc w:val="center"/>
        <w:rPr>
          <w:rFonts w:ascii="Times New Roman" w:hAnsi="Times New Roman" w:eastAsia="Times New Roman" w:cs="Times New Roman"/>
          <w:bCs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  <w:t xml:space="preserve">Профессиональные базы данных, информационные справочные системы, </w:t>
        <w:br/>
        <w:t>интернет-ресурсы (электронные образовательные ресурсы)</w:t>
      </w:r>
    </w:p>
    <w:tbl>
      <w:tblPr>
        <w:tblW w:w="9209" w:type="dxa"/>
        <w:jc w:val="left"/>
        <w:tblInd w:w="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7" w:type="dxa"/>
          <w:bottom w:w="0" w:type="dxa"/>
          <w:right w:w="57" w:type="dxa"/>
        </w:tblCellMar>
        <w:tblLook w:val="04a0" w:noVBand="1" w:noHBand="0" w:lastColumn="0" w:firstColumn="1" w:lastRow="0" w:firstRow="1"/>
      </w:tblPr>
      <w:tblGrid>
        <w:gridCol w:w="429"/>
        <w:gridCol w:w="4528"/>
        <w:gridCol w:w="4252"/>
      </w:tblGrid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szCs w:val="24"/>
              </w:rPr>
              <w:t>п/п</w:t>
            </w: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4"/>
              </w:rPr>
              <w:t>Условия доступа</w:t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8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 w:eastAsia="Times New Roman" w:cs="Times New Roman"/>
                <w:szCs w:val="24"/>
              </w:rPr>
            </w:pPr>
            <w:r>
              <w:rPr/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2.</w:t>
            </w: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 w:eastAsia="Times New Roman" w:cs="Times New Roman"/>
                <w:szCs w:val="24"/>
              </w:rPr>
            </w:pPr>
            <w:r>
              <w:rPr/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 w:eastAsia="Times New Roman" w:cs="Times New Roman"/>
                <w:szCs w:val="24"/>
                <w:lang w:val="en-US"/>
              </w:rPr>
            </w:pPr>
            <w:r>
              <w:rPr/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val="en-US"/>
              </w:rPr>
            </w:r>
          </w:p>
        </w:tc>
        <w:tc>
          <w:tcPr>
            <w:tcW w:w="8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iCs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>
        <w:trPr/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tabs>
                <w:tab w:val="left" w:pos="2115" w:leader="none"/>
              </w:tabs>
              <w:spacing w:before="0" w:after="160"/>
              <w:rPr>
                <w:rFonts w:ascii="Times New Roman" w:hAnsi="Times New Roman" w:eastAsia="Times New Roman" w:cs="Times New Roman"/>
                <w:i/>
                <w:i/>
                <w:iCs/>
                <w:szCs w:val="24"/>
              </w:rPr>
            </w:pPr>
            <w:r>
              <w:rPr/>
            </w:r>
          </w:p>
        </w:tc>
      </w:tr>
    </w:tbl>
    <w:p>
      <w:pPr>
        <w:pStyle w:val="Normal"/>
        <w:tabs>
          <w:tab w:val="left" w:pos="2115" w:leader="none"/>
        </w:tabs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  <w:t> </w:t>
      </w:r>
    </w:p>
    <w:p>
      <w:pPr>
        <w:pStyle w:val="ListParagraph"/>
        <w:numPr>
          <w:ilvl w:val="1"/>
          <w:numId w:val="4"/>
        </w:numPr>
        <w:tabs>
          <w:tab w:val="left" w:pos="2115" w:leader="none"/>
        </w:tabs>
        <w:rPr>
          <w:rFonts w:ascii="Times New Roman" w:hAnsi="Times New Roman" w:eastAsia="Times New Roman" w:cs="Times New Roman"/>
          <w:b/>
          <w:b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  <w:t>Материально-техническое обеспечение дисциплины</w:t>
      </w:r>
    </w:p>
    <w:p>
      <w:pPr>
        <w:pStyle w:val="Endnotetext"/>
        <w:widowControl w:val="false"/>
        <w:ind w:firstLine="567"/>
        <w:jc w:val="both"/>
        <w:rPr/>
      </w:pPr>
      <w:r>
        <w:rPr>
          <w:bCs/>
          <w:sz w:val="24"/>
          <w:szCs w:val="24"/>
        </w:rPr>
        <w:t xml:space="preserve">Учебные аудитории для лекционных занятий по дисциплине обеспечивают </w:t>
      </w:r>
      <w:r>
        <w:rPr>
          <w:bCs/>
          <w:sz w:val="24"/>
          <w:szCs w:val="24"/>
        </w:rPr>
        <w:t>представление материала</w:t>
      </w:r>
      <w:r>
        <w:rPr>
          <w:bCs/>
          <w:sz w:val="24"/>
          <w:szCs w:val="24"/>
        </w:rPr>
        <w:t>, соответствующ</w:t>
      </w:r>
      <w:r>
        <w:rPr>
          <w:bCs/>
          <w:sz w:val="24"/>
          <w:szCs w:val="24"/>
        </w:rPr>
        <w:t>его</w:t>
      </w:r>
      <w:r>
        <w:rPr>
          <w:bCs/>
          <w:sz w:val="24"/>
          <w:szCs w:val="24"/>
        </w:rPr>
        <w:t xml:space="preserve"> программе дисциплины в составе:</w:t>
      </w:r>
    </w:p>
    <w:p>
      <w:pPr>
        <w:pStyle w:val="Endnotetext"/>
        <w:widowControl w:val="false"/>
        <w:numPr>
          <w:ilvl w:val="0"/>
          <w:numId w:val="7"/>
        </w:numPr>
        <w:tabs>
          <w:tab w:val="left" w:pos="851" w:leader="none"/>
        </w:tabs>
        <w:ind w:left="0" w:firstLine="567"/>
        <w:jc w:val="both"/>
        <w:rPr/>
      </w:pPr>
      <w:r>
        <w:rPr>
          <w:bCs/>
          <w:sz w:val="24"/>
          <w:szCs w:val="24"/>
        </w:rPr>
        <w:t>белая маркерная доска</w:t>
      </w:r>
      <w:r>
        <w:rPr>
          <w:bCs/>
          <w:sz w:val="24"/>
          <w:szCs w:val="24"/>
        </w:rPr>
        <w:t>;</w:t>
      </w:r>
    </w:p>
    <w:p>
      <w:pPr>
        <w:pStyle w:val="Endnotetext"/>
        <w:widowControl w:val="false"/>
        <w:numPr>
          <w:ilvl w:val="0"/>
          <w:numId w:val="7"/>
        </w:numPr>
        <w:tabs>
          <w:tab w:val="left" w:pos="851" w:leader="none"/>
        </w:tabs>
        <w:ind w:left="0" w:firstLine="567"/>
        <w:jc w:val="both"/>
        <w:rPr/>
      </w:pPr>
      <w:r>
        <w:rPr>
          <w:bCs/>
          <w:sz w:val="24"/>
          <w:szCs w:val="24"/>
        </w:rPr>
        <w:t>маркеры для белых досок;</w:t>
      </w:r>
    </w:p>
    <w:p>
      <w:pPr>
        <w:pStyle w:val="Endnotetext"/>
        <w:widowControl w:val="false"/>
        <w:numPr>
          <w:ilvl w:val="0"/>
          <w:numId w:val="7"/>
        </w:numPr>
        <w:tabs>
          <w:tab w:val="left" w:pos="851" w:leader="none"/>
        </w:tabs>
        <w:ind w:left="0" w:firstLine="567"/>
        <w:jc w:val="both"/>
        <w:rPr/>
      </w:pPr>
      <w:r>
        <w:rPr>
          <w:bCs/>
          <w:sz w:val="24"/>
          <w:szCs w:val="24"/>
        </w:rPr>
        <w:t>губка-стиратель для маркерных досок</w:t>
      </w:r>
      <w:r>
        <w:rPr>
          <w:bCs/>
          <w:sz w:val="24"/>
          <w:szCs w:val="24"/>
        </w:rPr>
        <w:t>.</w:t>
      </w:r>
    </w:p>
    <w:p>
      <w:pPr>
        <w:pStyle w:val="Endnotetext"/>
        <w:widowControl w:val="false"/>
        <w:ind w:firstLine="567"/>
        <w:jc w:val="both"/>
        <w:rPr>
          <w:bCs/>
          <w:sz w:val="24"/>
          <w:szCs w:val="24"/>
        </w:rPr>
      </w:pPr>
      <w:r>
        <w:rPr/>
      </w:r>
    </w:p>
    <w:p>
      <w:pPr>
        <w:pStyle w:val="Normal"/>
        <w:tabs>
          <w:tab w:val="left" w:pos="2115" w:leader="none"/>
        </w:tabs>
        <w:spacing w:before="0" w:after="160"/>
        <w:ind w:left="567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PT Sans">
    <w:charset w:val="01"/>
    <w:family w:val="roman"/>
    <w:pitch w:val="default"/>
  </w:font>
  <w:font w:name="PT Serif">
    <w:charset w:val="01"/>
    <w:family w:val="roman"/>
    <w:pitch w:val="default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/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1701" w:hanging="72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835" w:hanging="144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609" w:hanging="1800"/>
      </w:pPr>
    </w:lvl>
    <w:lvl w:ilvl="8">
      <w:start w:val="1"/>
      <w:numFmt w:val="decimal"/>
      <w:lvlText w:val="%1.%2.%3.%4.%5.%6.%7.%8.%9"/>
      <w:lvlJc w:val="left"/>
      <w:pPr>
        <w:ind w:left="3816" w:hanging="1800"/>
      </w:pPr>
    </w:lvl>
  </w:abstractNum>
  <w:abstractNum w:abstractNumId="5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sz w:val="24"/>
        <w:b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sz w:val="24"/>
        <w:b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false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false"/>
        <w:rFonts w:cs="OpenSymbol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67d8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68729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712bf4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629d5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9"/>
    <w:uiPriority w:val="99"/>
    <w:qFormat/>
    <w:rsid w:val="00b629d5"/>
    <w:rPr>
      <w:sz w:val="20"/>
      <w:szCs w:val="20"/>
    </w:rPr>
  </w:style>
  <w:style w:type="character" w:styleId="Style14" w:customStyle="1">
    <w:name w:val="Тема примечания Знак"/>
    <w:basedOn w:val="Style13"/>
    <w:link w:val="ab"/>
    <w:uiPriority w:val="99"/>
    <w:semiHidden/>
    <w:qFormat/>
    <w:rsid w:val="00b629d5"/>
    <w:rPr>
      <w:b/>
      <w:bCs/>
      <w:sz w:val="20"/>
      <w:szCs w:val="20"/>
    </w:rPr>
  </w:style>
  <w:style w:type="character" w:styleId="Style15" w:customStyle="1">
    <w:name w:val="Текст концевой сноски Знак"/>
    <w:basedOn w:val="DefaultParagraphFont"/>
    <w:link w:val="ad"/>
    <w:semiHidden/>
    <w:qFormat/>
    <w:rsid w:val="00db7d1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d350af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/>
      <w:b/>
    </w:rPr>
  </w:style>
  <w:style w:type="character" w:styleId="ListLabel4">
    <w:name w:val="ListLabel 4"/>
    <w:qFormat/>
    <w:rPr>
      <w:rFonts w:cs="Symbol"/>
      <w:b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83">
    <w:name w:val="ListLabel 83"/>
    <w:qFormat/>
    <w:rPr>
      <w:rFonts w:cs="OpenSymbol"/>
      <w:b w:val="false"/>
    </w:rPr>
  </w:style>
  <w:style w:type="character" w:styleId="ListLabel82">
    <w:name w:val="ListLabel 82"/>
    <w:qFormat/>
    <w:rPr>
      <w:rFonts w:cs="Times New Roman"/>
    </w:rPr>
  </w:style>
  <w:style w:type="character" w:styleId="ListLabel81">
    <w:name w:val="ListLabel 81"/>
    <w:qFormat/>
    <w:rPr>
      <w:b w:val="false"/>
      <w:sz w:val="22"/>
      <w:szCs w:val="24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PT Sans" w:hAnsi="PT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ascii="PT Serif" w:hAnsi="PT Serif"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ascii="PT Serif" w:hAnsi="PT Serif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erif" w:hAnsi="PT Serif" w:cs="FreeSans"/>
    </w:rPr>
  </w:style>
  <w:style w:type="paragraph" w:styleId="ListParagraph">
    <w:name w:val="List Paragraph"/>
    <w:basedOn w:val="Normal"/>
    <w:uiPriority w:val="34"/>
    <w:qFormat/>
    <w:rsid w:val="000f7447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f744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712bf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aa"/>
    <w:uiPriority w:val="99"/>
    <w:unhideWhenUsed/>
    <w:qFormat/>
    <w:rsid w:val="00b629d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c"/>
    <w:uiPriority w:val="99"/>
    <w:semiHidden/>
    <w:unhideWhenUsed/>
    <w:qFormat/>
    <w:rsid w:val="00b629d5"/>
    <w:pPr/>
    <w:rPr>
      <w:b/>
      <w:bCs/>
    </w:rPr>
  </w:style>
  <w:style w:type="paragraph" w:styleId="Endnotetext">
    <w:name w:val="endnote text"/>
    <w:basedOn w:val="Normal"/>
    <w:link w:val="ae"/>
    <w:semiHidden/>
    <w:qFormat/>
    <w:rsid w:val="00db7d1f"/>
    <w:pPr>
      <w:overflowPunct w:val="false"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qFormat/>
    <w:pPr>
      <w:spacing w:lineRule="auto" w:line="480" w:before="0" w:after="120"/>
      <w:ind w:hanging="0"/>
    </w:pPr>
    <w:rPr>
      <w:rFonts w:eastAsia="Times New Roman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28463-824F-489C-9DCF-76F74DB7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Application>LibreOffice/5.0.3.2$Linux_X86_64 LibreOffice_project/00m0$Build-2</Application>
  <Paragraphs>136</Paragraphs>
  <Company>НИУ ВШЭ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2019-01-17T08:06:00Z</dcterms:created>
  <dc:creator>Скворцова Анна Анатольевна</dc:creator>
  <dc:language>ru-RU</dc:language>
  <cp:lastModifiedBy>OSST  </cp:lastModifiedBy>
  <cp:lastPrinted>2019-01-18T06:55:00Z</cp:lastPrinted>
  <dcterms:modified xsi:type="dcterms:W3CDTF">2019-01-26T18:40:54Z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НИУ ВШЭ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